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20F29" w:rsidRDefault="00F20F29">
      <w:pPr>
        <w:pStyle w:val="1"/>
      </w:pPr>
      <w:r>
        <w:fldChar w:fldCharType="begin"/>
      </w:r>
      <w:r>
        <w:instrText>HYPERLINK "garantF1://45303200.0"</w:instrText>
      </w:r>
      <w:r>
        <w:fldChar w:fldCharType="separate"/>
      </w:r>
      <w:r>
        <w:rPr>
          <w:rStyle w:val="a4"/>
          <w:rFonts w:cs="Arial"/>
          <w:b w:val="0"/>
          <w:bCs w:val="0"/>
        </w:rPr>
        <w:t xml:space="preserve">Постановление Правительства Карачаево-Черкесской Республики </w:t>
      </w:r>
      <w:r>
        <w:rPr>
          <w:rStyle w:val="a4"/>
          <w:rFonts w:cs="Arial"/>
          <w:b w:val="0"/>
          <w:bCs w:val="0"/>
        </w:rPr>
        <w:br/>
        <w:t xml:space="preserve">от 19 декабря 2016 г. N 333 </w:t>
      </w:r>
      <w:r>
        <w:rPr>
          <w:rStyle w:val="a4"/>
          <w:rFonts w:cs="Arial"/>
          <w:b w:val="0"/>
          <w:bCs w:val="0"/>
        </w:rPr>
        <w:br/>
        <w:t>"О мерах по улучшению жилищных условий граждан, проживающих в сельской местности, в том числе молодых семей и молодых специалистов, в Карачаево-Черкесской Республике"</w:t>
      </w:r>
      <w:r>
        <w:fldChar w:fldCharType="end"/>
      </w:r>
    </w:p>
    <w:p w:rsidR="00F20F29" w:rsidRDefault="00F20F29"/>
    <w:p w:rsidR="00F20F29" w:rsidRDefault="00F20F29">
      <w:r>
        <w:t xml:space="preserve">В соответствии с </w:t>
      </w:r>
      <w:hyperlink r:id="rId6" w:history="1">
        <w:r>
          <w:rPr>
            <w:rStyle w:val="a4"/>
            <w:rFonts w:cs="Arial"/>
          </w:rPr>
          <w:t>постановлением</w:t>
        </w:r>
      </w:hyperlink>
      <w:r>
        <w:t xml:space="preserve"> Правительства Российской Федерации от 15.07.2013 N 598 "О федеральной целевой программе "Устойчивое развитие сельских территорий на 2014 - 2017 годы и на период до 2020 года", в целях реализации подпрограммы "Устойчивое развитие сельских территорий Карачаево-Черкесской Республики до 2020 года" </w:t>
      </w:r>
      <w:hyperlink r:id="rId7" w:history="1">
        <w:r>
          <w:rPr>
            <w:rStyle w:val="a4"/>
            <w:rFonts w:cs="Arial"/>
          </w:rPr>
          <w:t>государственной программы</w:t>
        </w:r>
      </w:hyperlink>
      <w:r>
        <w:t xml:space="preserve"> "Развитие сельского хозяйства Карачаево-Черкесской Республики до 2020 года", утвержденной </w:t>
      </w:r>
      <w:hyperlink r:id="rId8" w:history="1">
        <w:r>
          <w:rPr>
            <w:rStyle w:val="a4"/>
            <w:rFonts w:cs="Arial"/>
          </w:rPr>
          <w:t>постановлением</w:t>
        </w:r>
      </w:hyperlink>
      <w:r>
        <w:t xml:space="preserve"> Правительства Карачаево-Черкесской Республики от 31.10.2013 N 358 Правительство Карачаево-Черкесской Республики постановляет:</w:t>
      </w:r>
    </w:p>
    <w:p w:rsidR="00F20F29" w:rsidRDefault="00F20F29">
      <w:bookmarkStart w:id="1" w:name="sub_1111"/>
      <w:r>
        <w:t>1. Утвердить:</w:t>
      </w:r>
    </w:p>
    <w:p w:rsidR="00F20F29" w:rsidRDefault="00F20F29">
      <w:bookmarkStart w:id="2" w:name="sub_11111"/>
      <w:bookmarkEnd w:id="1"/>
      <w:r>
        <w:t xml:space="preserve">1.1.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согласно </w:t>
      </w:r>
      <w:hyperlink w:anchor="sub_1000" w:history="1">
        <w:r>
          <w:rPr>
            <w:rStyle w:val="a4"/>
            <w:rFonts w:cs="Arial"/>
          </w:rPr>
          <w:t>приложению 1</w:t>
        </w:r>
      </w:hyperlink>
      <w:r>
        <w:t>.</w:t>
      </w:r>
    </w:p>
    <w:p w:rsidR="00F20F29" w:rsidRDefault="00F20F29">
      <w:bookmarkStart w:id="3" w:name="sub_11112"/>
      <w:bookmarkEnd w:id="2"/>
      <w:r>
        <w:t xml:space="preserve">1.2. Перечень сельских населенных пунктов и рабочих поселков, входящих в состав городских поселений или городских округов Карачаево-Черкесской Республики, на территории которых преобладает деятельность, связанная с производством и переработкой сельскохозяйственной продукции, согласно </w:t>
      </w:r>
      <w:hyperlink w:anchor="sub_2000" w:history="1">
        <w:r>
          <w:rPr>
            <w:rStyle w:val="a4"/>
            <w:rFonts w:cs="Arial"/>
          </w:rPr>
          <w:t>приложению 2</w:t>
        </w:r>
      </w:hyperlink>
      <w:r>
        <w:t>.</w:t>
      </w:r>
    </w:p>
    <w:p w:rsidR="00F20F29" w:rsidRDefault="00F20F29">
      <w:bookmarkStart w:id="4" w:name="sub_222"/>
      <w:bookmarkEnd w:id="3"/>
      <w:r>
        <w:t xml:space="preserve">2. Определить </w:t>
      </w:r>
      <w:hyperlink r:id="rId9" w:history="1">
        <w:r>
          <w:rPr>
            <w:rStyle w:val="a4"/>
            <w:rFonts w:cs="Arial"/>
          </w:rPr>
          <w:t>Министерство</w:t>
        </w:r>
      </w:hyperlink>
      <w:r>
        <w:t xml:space="preserve"> сельского хозяйства Карачаево-Черкесской Республики уполномоченным органом исполнительной власти Карачаево-Черкесской Республики по выполнению мероприятий по улучшению жилищных условий граждан, проживающих в сельской местности Карачаево-Черкесской Республики, проводимых в рамках реализации </w:t>
      </w:r>
      <w:hyperlink r:id="rId10" w:history="1">
        <w:r>
          <w:rPr>
            <w:rStyle w:val="a4"/>
            <w:rFonts w:cs="Arial"/>
          </w:rPr>
          <w:t>постановления</w:t>
        </w:r>
      </w:hyperlink>
      <w:r>
        <w:t xml:space="preserve"> Правительства Российской Федерации от 15.07.2013 N 598 "О федеральной целевой программе "Устойчивое развитие сельских территорий на 2014 - 2017 годы и на период до 2020 года" (далее - Уполномоченный орган).</w:t>
      </w:r>
    </w:p>
    <w:p w:rsidR="00F20F29" w:rsidRDefault="00F20F29">
      <w:bookmarkStart w:id="5" w:name="sub_3333"/>
      <w:bookmarkEnd w:id="4"/>
      <w:r>
        <w:t xml:space="preserve">3. Рекомендовать органам местного самоуправления муниципальных образований Карачаево-Черкесской Республики при формировании местных бюджетов ежегодно предусматривать средства на строительство (приобретение) жилья участникам </w:t>
      </w:r>
      <w:hyperlink r:id="rId11" w:history="1">
        <w:r>
          <w:rPr>
            <w:rStyle w:val="a4"/>
            <w:rFonts w:cs="Arial"/>
          </w:rPr>
          <w:t>федеральной целевой программы</w:t>
        </w:r>
      </w:hyperlink>
      <w:r>
        <w:t xml:space="preserve"> "Устойчивое развитие сельских территорий на 2014 - 2017 годы и на период до 2020 года" на территории Карачаево-Черкесской Республики и определить долю участия органов местного самоуправления в финансировании мероприятий.</w:t>
      </w:r>
    </w:p>
    <w:p w:rsidR="00F20F29" w:rsidRDefault="00F20F29">
      <w:bookmarkStart w:id="6" w:name="sub_444"/>
      <w:bookmarkEnd w:id="5"/>
      <w:r>
        <w:t xml:space="preserve">4. Признать утратившим силу </w:t>
      </w:r>
      <w:hyperlink r:id="rId12" w:history="1">
        <w:r>
          <w:rPr>
            <w:rStyle w:val="a4"/>
            <w:rFonts w:cs="Arial"/>
          </w:rPr>
          <w:t>постановление</w:t>
        </w:r>
      </w:hyperlink>
      <w:r>
        <w:t xml:space="preserve"> Правительства Карачаево-Черкесской Республики от 12.03.2014 N 59 "О мерах по улучшению жилищных условий граждан, проживающих в сельской местности, в том числе молодых семей и молодых специалистов, в Карачаево-Черкесской Республике".</w:t>
      </w:r>
    </w:p>
    <w:bookmarkEnd w:id="6"/>
    <w:p w:rsidR="00F20F29" w:rsidRDefault="00F20F29"/>
    <w:tbl>
      <w:tblPr>
        <w:tblW w:w="0" w:type="auto"/>
        <w:tblInd w:w="108" w:type="dxa"/>
        <w:tblLook w:val="0000" w:firstRow="0" w:lastRow="0" w:firstColumn="0" w:lastColumn="0" w:noHBand="0" w:noVBand="0"/>
      </w:tblPr>
      <w:tblGrid>
        <w:gridCol w:w="6666"/>
        <w:gridCol w:w="3333"/>
      </w:tblGrid>
      <w:tr w:rsidR="00F20F29">
        <w:tblPrEx>
          <w:tblCellMar>
            <w:top w:w="0" w:type="dxa"/>
            <w:bottom w:w="0" w:type="dxa"/>
          </w:tblCellMar>
        </w:tblPrEx>
        <w:tc>
          <w:tcPr>
            <w:tcW w:w="6666" w:type="dxa"/>
            <w:tcBorders>
              <w:top w:val="nil"/>
              <w:left w:val="nil"/>
              <w:bottom w:val="nil"/>
              <w:right w:val="nil"/>
            </w:tcBorders>
          </w:tcPr>
          <w:p w:rsidR="00F20F29" w:rsidRDefault="00F20F29">
            <w:pPr>
              <w:pStyle w:val="a9"/>
            </w:pPr>
            <w:r>
              <w:t>Председатель Правительства Карачаево-Черкесской Республики</w:t>
            </w:r>
          </w:p>
        </w:tc>
        <w:tc>
          <w:tcPr>
            <w:tcW w:w="3333" w:type="dxa"/>
            <w:tcBorders>
              <w:top w:val="nil"/>
              <w:left w:val="nil"/>
              <w:bottom w:val="nil"/>
              <w:right w:val="nil"/>
            </w:tcBorders>
          </w:tcPr>
          <w:p w:rsidR="00F20F29" w:rsidRDefault="00F20F29">
            <w:pPr>
              <w:pStyle w:val="a7"/>
              <w:jc w:val="right"/>
            </w:pPr>
            <w:r>
              <w:t>А.А. Озов</w:t>
            </w:r>
          </w:p>
        </w:tc>
      </w:tr>
    </w:tbl>
    <w:p w:rsidR="00F20F29" w:rsidRDefault="00F20F29"/>
    <w:p w:rsidR="00F20F29" w:rsidRDefault="00F20F29"/>
    <w:p w:rsidR="00F20F29" w:rsidRDefault="00F20F29">
      <w:pPr>
        <w:ind w:firstLine="0"/>
        <w:jc w:val="right"/>
      </w:pPr>
      <w:bookmarkStart w:id="7" w:name="sub_1000"/>
      <w:r>
        <w:rPr>
          <w:rStyle w:val="a3"/>
          <w:bCs/>
        </w:rPr>
        <w:t>Приложение 1</w:t>
      </w:r>
    </w:p>
    <w:bookmarkEnd w:id="7"/>
    <w:p w:rsidR="00F20F29" w:rsidRDefault="00F20F29">
      <w:pPr>
        <w:ind w:firstLine="0"/>
        <w:jc w:val="right"/>
      </w:pPr>
      <w:r>
        <w:rPr>
          <w:rStyle w:val="a3"/>
          <w:bCs/>
        </w:rPr>
        <w:t xml:space="preserve">к </w:t>
      </w:r>
      <w:hyperlink w:anchor="sub_0" w:history="1">
        <w:r>
          <w:rPr>
            <w:rStyle w:val="a4"/>
            <w:rFonts w:cs="Arial"/>
          </w:rPr>
          <w:t>постановлению</w:t>
        </w:r>
      </w:hyperlink>
      <w:r>
        <w:rPr>
          <w:rStyle w:val="a3"/>
          <w:bCs/>
        </w:rPr>
        <w:t xml:space="preserve"> Правительства</w:t>
      </w:r>
    </w:p>
    <w:p w:rsidR="00F20F29" w:rsidRDefault="00F20F29">
      <w:pPr>
        <w:ind w:firstLine="0"/>
        <w:jc w:val="right"/>
      </w:pPr>
      <w:r>
        <w:rPr>
          <w:rStyle w:val="a3"/>
          <w:bCs/>
        </w:rPr>
        <w:t>Карачаево-Черкесской Республики</w:t>
      </w:r>
    </w:p>
    <w:p w:rsidR="00F20F29" w:rsidRDefault="00F20F29">
      <w:pPr>
        <w:ind w:firstLine="0"/>
        <w:jc w:val="right"/>
      </w:pPr>
      <w:r>
        <w:rPr>
          <w:rStyle w:val="a3"/>
          <w:bCs/>
        </w:rPr>
        <w:lastRenderedPageBreak/>
        <w:t>от 19 декабря 2016 г. N 333</w:t>
      </w:r>
    </w:p>
    <w:p w:rsidR="00F20F29" w:rsidRDefault="00F20F29"/>
    <w:p w:rsidR="00F20F29" w:rsidRDefault="00F20F29">
      <w:pPr>
        <w:pStyle w:val="1"/>
      </w:pPr>
      <w:r>
        <w:t xml:space="preserve">Порядок </w:t>
      </w:r>
      <w:r>
        <w:br/>
        <w:t>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p>
    <w:p w:rsidR="00F20F29" w:rsidRDefault="00F20F29"/>
    <w:p w:rsidR="00F20F29" w:rsidRDefault="00F20F29">
      <w:pPr>
        <w:pStyle w:val="1"/>
      </w:pPr>
      <w:bookmarkStart w:id="8" w:name="sub_100"/>
      <w:r>
        <w:t>1. Общие положения</w:t>
      </w:r>
    </w:p>
    <w:bookmarkEnd w:id="8"/>
    <w:p w:rsidR="00F20F29" w:rsidRDefault="00F20F29"/>
    <w:p w:rsidR="00F20F29" w:rsidRDefault="00F20F29">
      <w:bookmarkStart w:id="9" w:name="sub_1"/>
      <w:r>
        <w:t>1. Настоящий Порядок определяет условия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p>
    <w:p w:rsidR="00F20F29" w:rsidRDefault="00F20F29">
      <w:bookmarkStart w:id="10" w:name="sub_11"/>
      <w:bookmarkEnd w:id="9"/>
      <w:r>
        <w:t>Под сельской местностью понимаются сельские поселения, а также сельские населенные пункты и рабочие поселки, входящие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F20F29" w:rsidRDefault="00F20F29">
      <w:bookmarkStart w:id="11" w:name="sub_2"/>
      <w:bookmarkEnd w:id="10"/>
      <w:r>
        <w:t xml:space="preserve">2. Субсидии из республиканского бюджета предоставляются в пределах средств, предусмотренных на эти цели </w:t>
      </w:r>
      <w:hyperlink r:id="rId13" w:history="1">
        <w:r>
          <w:rPr>
            <w:rStyle w:val="a4"/>
            <w:rFonts w:cs="Arial"/>
          </w:rPr>
          <w:t>законом</w:t>
        </w:r>
      </w:hyperlink>
      <w:r>
        <w:t xml:space="preserve"> о республиканском бюджете на соответствующий финансовый год, на условиях софинансирования расходных обязательств Карачаево-Черкесской Республики на осуществление социальных выплат за счет средств бюджета Карачаево-Черкесской Республики и субсидии из федерального бюджета, предоставленной Карачаево-Черкесской Республике в соответствии с </w:t>
      </w:r>
      <w:hyperlink r:id="rId14" w:history="1">
        <w:r>
          <w:rPr>
            <w:rStyle w:val="a4"/>
            <w:rFonts w:cs="Arial"/>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утвержденными </w:t>
      </w:r>
      <w:hyperlink r:id="rId15" w:history="1">
        <w:r>
          <w:rPr>
            <w:rStyle w:val="a4"/>
            <w:rFonts w:cs="Arial"/>
          </w:rPr>
          <w:t>постановлением</w:t>
        </w:r>
      </w:hyperlink>
      <w:r>
        <w:t xml:space="preserve"> Правительства Российской Федерации от 15.07.2013 N 598 "О федеральной целевой программе "Устойчивое развитие сельских территорий на 2014 - 2017 годы и на период до 2020 года".</w:t>
      </w:r>
    </w:p>
    <w:p w:rsidR="00F20F29" w:rsidRDefault="00F20F29">
      <w:bookmarkStart w:id="12" w:name="sub_21"/>
      <w:bookmarkEnd w:id="11"/>
      <w:r>
        <w:t>Социальные выплаты гражданам, молодым семьям и молодым специалистам предоставляются за счет средств федерального бюджета, бюджета Карачаево-Черкесской Республики и (или) местных бюджетов.</w:t>
      </w:r>
    </w:p>
    <w:p w:rsidR="00F20F29" w:rsidRDefault="00F20F29">
      <w:bookmarkStart w:id="13" w:name="sub_3"/>
      <w:bookmarkEnd w:id="12"/>
      <w: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bookmarkEnd w:id="13"/>
    <w:p w:rsidR="00F20F29" w:rsidRDefault="00F20F29"/>
    <w:p w:rsidR="00F20F29" w:rsidRDefault="00F20F29">
      <w:pPr>
        <w:pStyle w:val="1"/>
      </w:pPr>
      <w:bookmarkStart w:id="14" w:name="sub_200"/>
      <w:r>
        <w:t>2. Порядок предоставления социальных выплат гражданам</w:t>
      </w:r>
    </w:p>
    <w:bookmarkEnd w:id="14"/>
    <w:p w:rsidR="00F20F29" w:rsidRDefault="00F20F29"/>
    <w:p w:rsidR="00F20F29" w:rsidRDefault="00F20F29">
      <w:bookmarkStart w:id="15" w:name="sub_4"/>
      <w:r>
        <w:t>4. Право на получение социальной выплаты гражданин имеет при соблюдении в совокупности следующих условий:</w:t>
      </w:r>
    </w:p>
    <w:p w:rsidR="00F20F29" w:rsidRDefault="00F20F29">
      <w:bookmarkStart w:id="16" w:name="sub_41"/>
      <w:bookmarkEnd w:id="15"/>
      <w:r>
        <w:t>а) постоянное проживание в сельской местности;</w:t>
      </w:r>
    </w:p>
    <w:p w:rsidR="00F20F29" w:rsidRDefault="00F20F29">
      <w:bookmarkStart w:id="17" w:name="sub_42"/>
      <w:bookmarkEnd w:id="16"/>
      <w:r>
        <w:t xml:space="preserve">б)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одного года на дату подачи заявления о включении в состав </w:t>
      </w:r>
      <w:r>
        <w:lastRenderedPageBreak/>
        <w:t xml:space="preserve">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w:t>
      </w:r>
      <w:hyperlink r:id="rId16" w:history="1">
        <w:r>
          <w:rPr>
            <w:rStyle w:val="a4"/>
            <w:rFonts w:cs="Arial"/>
          </w:rPr>
          <w:t>приложению N 6</w:t>
        </w:r>
      </w:hyperlink>
      <w:r>
        <w:t xml:space="preserve"> к </w:t>
      </w:r>
      <w:hyperlink r:id="rId17" w:history="1">
        <w:r>
          <w:rPr>
            <w:rStyle w:val="a4"/>
            <w:rFonts w:cs="Arial"/>
          </w:rPr>
          <w:t>федеральной целевой программе</w:t>
        </w:r>
      </w:hyperlink>
      <w:r>
        <w:t xml:space="preserve"> "Устойчивое развитие сельских территорий на 2014 - 2017 годы и на период до 2020 года", утвержденной </w:t>
      </w:r>
      <w:hyperlink r:id="rId18" w:history="1">
        <w:r>
          <w:rPr>
            <w:rStyle w:val="a4"/>
            <w:rFonts w:cs="Arial"/>
          </w:rPr>
          <w:t>постановлением</w:t>
        </w:r>
      </w:hyperlink>
      <w:r>
        <w:t xml:space="preserve"> Правительства Российской Федерации от 15.07.2013 года N 598 "О федеральной целевой программе "Устойчивое развитие сельских территорий на 2014 - 2017 годы и на период до 2020 года" (далее - Программа, заявление);</w:t>
      </w:r>
    </w:p>
    <w:p w:rsidR="00F20F29" w:rsidRDefault="00F20F29">
      <w:bookmarkStart w:id="18" w:name="sub_43"/>
      <w:bookmarkEnd w:id="17"/>
      <w:r>
        <w:t xml:space="preserve">в) 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w:anchor="sub_13" w:history="1">
        <w:r>
          <w:rPr>
            <w:rStyle w:val="a4"/>
            <w:rFonts w:cs="Arial"/>
          </w:rPr>
          <w:t>пунктом 13</w:t>
        </w:r>
      </w:hyperlink>
      <w:r>
        <w:t xml:space="preserve"> настоящего Порядка, а также средств, необходимых для строительства (приобретения) жилья в случае, предусмотренном </w:t>
      </w:r>
      <w:hyperlink w:anchor="sub_18" w:history="1">
        <w:r>
          <w:rPr>
            <w:rStyle w:val="a4"/>
            <w:rFonts w:cs="Arial"/>
          </w:rPr>
          <w:t>пунктом 18</w:t>
        </w:r>
      </w:hyperlink>
      <w:r>
        <w:t xml:space="preserve"> настоящего Порядка положения. Доля собственных и (или) заемных средств в процентах от расчетной стоимости строительства (приобретения) жилья, в том числе отдельно по гражданам и молодым семьям (молодым специалистам), определяется Министерством сельского хозяйства Карачаево-Черкесской Республики (далее - Уполномоченный орган).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бюджета Карачаево-Черкесской Республики и (или) местного бюджета муниципального образования.</w:t>
      </w:r>
    </w:p>
    <w:p w:rsidR="00F20F29" w:rsidRDefault="00F20F29">
      <w:bookmarkStart w:id="19" w:name="sub_431"/>
      <w:bookmarkEnd w:id="18"/>
      <w:r>
        <w:t xml:space="preserve">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19" w:history="1">
        <w:r>
          <w:rPr>
            <w:rStyle w:val="a4"/>
            <w:rFonts w:cs="Arial"/>
          </w:rPr>
          <w:t>Правилами</w:t>
        </w:r>
      </w:hyperlink>
      <w:r>
        <w:t xml:space="preserve"> направления средств (части средств) материнского (семейного) капитала на улучшение жилищных условий, утвержденными </w:t>
      </w:r>
      <w:hyperlink r:id="rId20" w:history="1">
        <w:r>
          <w:rPr>
            <w:rStyle w:val="a4"/>
            <w:rFonts w:cs="Arial"/>
          </w:rPr>
          <w:t>постановлением</w:t>
        </w:r>
      </w:hyperlink>
      <w: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F20F29" w:rsidRDefault="00F20F29">
      <w:bookmarkStart w:id="20" w:name="sub_44"/>
      <w:bookmarkEnd w:id="19"/>
      <w:r>
        <w:t xml:space="preserve">г) признание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21" w:history="1">
        <w:r>
          <w:rPr>
            <w:rStyle w:val="a4"/>
            <w:rFonts w:cs="Arial"/>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20F29" w:rsidRDefault="00F20F29">
      <w:bookmarkStart w:id="21" w:name="sub_5"/>
      <w:bookmarkEnd w:id="20"/>
      <w:r>
        <w:t>5. Предоставление гражданам социальных выплат осуществляется согласно следующей очередности:</w:t>
      </w:r>
    </w:p>
    <w:p w:rsidR="00F20F29" w:rsidRDefault="00F20F29">
      <w:bookmarkStart w:id="22" w:name="sub_51"/>
      <w:bookmarkEnd w:id="21"/>
      <w: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F20F29" w:rsidRDefault="00F20F29">
      <w:bookmarkStart w:id="23" w:name="sub_52"/>
      <w:bookmarkEnd w:id="22"/>
      <w: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F20F29" w:rsidRDefault="00F20F29">
      <w:bookmarkStart w:id="24" w:name="sub_53"/>
      <w:bookmarkEnd w:id="23"/>
      <w:r>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F20F29" w:rsidRDefault="00F20F29">
      <w:bookmarkStart w:id="25" w:name="sub_54"/>
      <w:bookmarkEnd w:id="24"/>
      <w:r>
        <w:t xml:space="preserve">г) гражданам, работающим по трудовым договорам или осуществляющим индивидуальную предпринимательскую деятельность в социальной сфере в сельской </w:t>
      </w:r>
      <w:r>
        <w:lastRenderedPageBreak/>
        <w:t>местности, изъявившим желание улучшить жилищные условия путем приобретения жилых помещений;</w:t>
      </w:r>
    </w:p>
    <w:p w:rsidR="00F20F29" w:rsidRDefault="00F20F29">
      <w:bookmarkStart w:id="26" w:name="sub_55"/>
      <w:bookmarkEnd w:id="25"/>
      <w:r>
        <w:t xml:space="preserve">д) гражданам, осуществляющим трудовую деятельность в сельской местности (за исключением граждан, указанных в </w:t>
      </w:r>
      <w:hyperlink w:anchor="sub_51" w:history="1">
        <w:r>
          <w:rPr>
            <w:rStyle w:val="a4"/>
            <w:rFonts w:cs="Arial"/>
          </w:rPr>
          <w:t>подпунктах "а - г")</w:t>
        </w:r>
      </w:hyperlink>
      <w:r>
        <w:t>, изъявившим желание улучшить жилищные условия путем строительства жилого дома или участия в долевом строительстве жилых домов (квартир);</w:t>
      </w:r>
    </w:p>
    <w:p w:rsidR="00F20F29" w:rsidRDefault="00F20F29">
      <w:bookmarkStart w:id="27" w:name="sub_56"/>
      <w:bookmarkEnd w:id="26"/>
      <w:r>
        <w:t xml:space="preserve">е) гражданам, осуществляющим трудовую деятельность в сельской местности (за исключением граждан, указанных в </w:t>
      </w:r>
      <w:hyperlink w:anchor="sub_51" w:history="1">
        <w:r>
          <w:rPr>
            <w:rStyle w:val="a4"/>
            <w:rFonts w:cs="Arial"/>
          </w:rPr>
          <w:t>подпунктах "а - г")</w:t>
        </w:r>
      </w:hyperlink>
      <w:r>
        <w:t>, изъявившим желание улучшить жилищные условия путем приобретения жилых помещений.</w:t>
      </w:r>
    </w:p>
    <w:p w:rsidR="00F20F29" w:rsidRDefault="00F20F29">
      <w:bookmarkStart w:id="28" w:name="sub_6"/>
      <w:bookmarkEnd w:id="27"/>
      <w:r>
        <w:t xml:space="preserve">6. В каждой из указанных в </w:t>
      </w:r>
      <w:hyperlink w:anchor="sub_5" w:history="1">
        <w:r>
          <w:rPr>
            <w:rStyle w:val="a4"/>
            <w:rFonts w:cs="Arial"/>
          </w:rPr>
          <w:t>пункте 5</w:t>
        </w:r>
      </w:hyperlink>
      <w:r>
        <w:t xml:space="preserve"> настоящего Порядка групп граждан очередность определяется в хронологической последовательности по дате подачи ими заявления в соответствии с </w:t>
      </w:r>
      <w:hyperlink w:anchor="sub_19" w:history="1">
        <w:r>
          <w:rPr>
            <w:rStyle w:val="a4"/>
            <w:rFonts w:cs="Arial"/>
          </w:rPr>
          <w:t>пунктом 19</w:t>
        </w:r>
      </w:hyperlink>
      <w:r>
        <w:t xml:space="preserve"> настоящего Порядка с учетом первоочередного предоставления социальных выплат:</w:t>
      </w:r>
    </w:p>
    <w:p w:rsidR="00F20F29" w:rsidRDefault="00F20F29">
      <w:bookmarkStart w:id="29" w:name="sub_61"/>
      <w:bookmarkEnd w:id="28"/>
      <w:r>
        <w:t>а) гражданам, имеющим трех и более детей;</w:t>
      </w:r>
    </w:p>
    <w:p w:rsidR="00F20F29" w:rsidRDefault="00F20F29">
      <w:bookmarkStart w:id="30" w:name="sub_62"/>
      <w:bookmarkEnd w:id="29"/>
      <w:r>
        <w:t xml:space="preserve">б) гражданам, включенным в списки граждан, изъявивших желание улучшить жилищные условия с использованием социальных выплат в рамках </w:t>
      </w:r>
      <w:hyperlink r:id="rId22" w:history="1">
        <w:r>
          <w:rPr>
            <w:rStyle w:val="a4"/>
            <w:rFonts w:cs="Arial"/>
          </w:rPr>
          <w:t>федеральной целевой программы</w:t>
        </w:r>
      </w:hyperlink>
      <w:r>
        <w:t xml:space="preserve"> "Социальное развитие села до 2013 года", утвержденной </w:t>
      </w:r>
      <w:hyperlink r:id="rId23" w:history="1">
        <w:r>
          <w:rPr>
            <w:rStyle w:val="a4"/>
            <w:rFonts w:cs="Arial"/>
          </w:rPr>
          <w:t>постановлением</w:t>
        </w:r>
      </w:hyperlink>
      <w:r>
        <w:t xml:space="preserve"> Правительства Российской Федерации от 03.12.2002 N 858 "О федеральной целевой программе "Социальное развитие села до 2013 года".</w:t>
      </w:r>
    </w:p>
    <w:p w:rsidR="00F20F29" w:rsidRDefault="00F20F29">
      <w:bookmarkStart w:id="31" w:name="sub_7"/>
      <w:bookmarkEnd w:id="30"/>
      <w:r>
        <w:t>7. К членам семьи гражданина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F20F29" w:rsidRDefault="00F20F29">
      <w:bookmarkStart w:id="32" w:name="sub_8"/>
      <w:bookmarkEnd w:id="31"/>
      <w:r>
        <w:t>8. Гражданин, которому предоставляется социальная выплата (далее - получатель социальной выплаты), вправе ее использовать:</w:t>
      </w:r>
    </w:p>
    <w:p w:rsidR="00F20F29" w:rsidRDefault="00F20F29">
      <w:bookmarkStart w:id="33" w:name="sub_81"/>
      <w:bookmarkEnd w:id="32"/>
      <w:r>
        <w:t>а) на приобретение жилого помещения в сельской местности.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в котором гражданин постоянно проживает;</w:t>
      </w:r>
    </w:p>
    <w:p w:rsidR="00F20F29" w:rsidRDefault="00F20F29">
      <w:bookmarkStart w:id="34" w:name="sub_82"/>
      <w:bookmarkEnd w:id="33"/>
      <w: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F20F29" w:rsidRDefault="00F20F29">
      <w:bookmarkStart w:id="35" w:name="sub_83"/>
      <w:bookmarkEnd w:id="34"/>
      <w:r>
        <w:t>в) на участие в долевом строительстве жилых домов (квартир) в сельской местности.</w:t>
      </w:r>
    </w:p>
    <w:p w:rsidR="00F20F29" w:rsidRDefault="00F20F29">
      <w:bookmarkStart w:id="36" w:name="sub_9"/>
      <w:bookmarkEnd w:id="35"/>
      <w:r>
        <w:t>9. Жилое помещение (жилой дом), на приобретение (строительство) которого предоставляется социальная выплата, должно быть:</w:t>
      </w:r>
    </w:p>
    <w:p w:rsidR="00F20F29" w:rsidRDefault="00F20F29">
      <w:bookmarkStart w:id="37" w:name="sub_91"/>
      <w:bookmarkEnd w:id="36"/>
      <w:r>
        <w:t>а) пригодным для постоянного проживания;</w:t>
      </w:r>
    </w:p>
    <w:p w:rsidR="00F20F29" w:rsidRDefault="00F20F29">
      <w:bookmarkStart w:id="38" w:name="sub_92"/>
      <w:bookmarkEnd w:id="37"/>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F20F29" w:rsidRDefault="00F20F29">
      <w:bookmarkStart w:id="39" w:name="sub_93"/>
      <w:bookmarkEnd w:id="38"/>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F20F29" w:rsidRDefault="00F20F29">
      <w:bookmarkStart w:id="40" w:name="sub_10"/>
      <w:bookmarkEnd w:id="39"/>
      <w:r>
        <w:t xml:space="preserve">10. Соответствие жилого помещения указанным в </w:t>
      </w:r>
      <w:hyperlink w:anchor="sub_9" w:history="1">
        <w:r>
          <w:rPr>
            <w:rStyle w:val="a4"/>
            <w:rFonts w:cs="Arial"/>
          </w:rPr>
          <w:t>пункте 9</w:t>
        </w:r>
      </w:hyperlink>
      <w:r>
        <w:t xml:space="preserve"> настоящего Порядка требованиям устанавливается комиссией, созданной органом местного самоуправления, в соответствии с </w:t>
      </w:r>
      <w:hyperlink r:id="rId24" w:history="1">
        <w:r>
          <w:rPr>
            <w:rStyle w:val="a4"/>
            <w:rFonts w:cs="Arial"/>
          </w:rPr>
          <w:t>постановлением</w:t>
        </w:r>
      </w:hyperlink>
      <w:r>
        <w:t xml:space="preserve"> Правительства Российской </w:t>
      </w:r>
      <w:r>
        <w:lastRenderedPageBreak/>
        <w:t>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0F29" w:rsidRDefault="00F20F29">
      <w:bookmarkStart w:id="41" w:name="sub_110"/>
      <w:bookmarkEnd w:id="40"/>
      <w:r>
        <w:t xml:space="preserve">11. В случае привлечения гражданином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sub_4" w:history="1">
        <w:r>
          <w:rPr>
            <w:rStyle w:val="a4"/>
            <w:rFonts w:cs="Arial"/>
          </w:rPr>
          <w:t>пунктом 4</w:t>
        </w:r>
      </w:hyperlink>
      <w:r>
        <w:t xml:space="preserve"> настоящего Порядка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20F29" w:rsidRDefault="00F20F29">
      <w:bookmarkStart w:id="42" w:name="sub_111"/>
      <w:bookmarkEnd w:id="41"/>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20F29" w:rsidRDefault="00F20F29">
      <w:bookmarkStart w:id="43" w:name="sub_112"/>
      <w:bookmarkEnd w:id="42"/>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20F29" w:rsidRDefault="00F20F29">
      <w:bookmarkStart w:id="44" w:name="sub_113"/>
      <w:bookmarkEnd w:id="43"/>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20F29" w:rsidRDefault="00F20F29">
      <w:bookmarkStart w:id="45" w:name="sub_12"/>
      <w:bookmarkEnd w:id="44"/>
      <w:r>
        <w:t xml:space="preserve">12. Право граждан на получение социальной выплаты удостоверяется свидетельством, не являющимся ценной бумагой, по форме, предусмотренной </w:t>
      </w:r>
      <w:hyperlink r:id="rId25" w:history="1">
        <w:r>
          <w:rPr>
            <w:rStyle w:val="a4"/>
            <w:rFonts w:cs="Arial"/>
          </w:rPr>
          <w:t>приложением N 5</w:t>
        </w:r>
      </w:hyperlink>
      <w:r>
        <w:t xml:space="preserve"> к Программе (далее - свидетельство). Срок действия свидетельства составляет 1 год с даты выдачи, указанной в свидетельстве.</w:t>
      </w:r>
    </w:p>
    <w:p w:rsidR="00F20F29" w:rsidRDefault="00F20F29">
      <w:bookmarkStart w:id="46" w:name="sub_121"/>
      <w:bookmarkEnd w:id="45"/>
      <w:r>
        <w:t>Выдача свидетельства получателю социальной выплаты осуществляется Уполномоченным органом.</w:t>
      </w:r>
    </w:p>
    <w:p w:rsidR="00F20F29" w:rsidRDefault="00F20F29">
      <w:bookmarkStart w:id="47" w:name="sub_13"/>
      <w:bookmarkEnd w:id="46"/>
      <w:r>
        <w:t xml:space="preserve">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w:t>
      </w:r>
      <w:hyperlink r:id="rId26" w:history="1">
        <w:r>
          <w:rPr>
            <w:rStyle w:val="a4"/>
            <w:rFonts w:cs="Arial"/>
          </w:rPr>
          <w:t>стоимости</w:t>
        </w:r>
      </w:hyperlink>
      <w:r>
        <w:t xml:space="preserve"> 1 кв. метра общей площади жилья в сельской местности на территории Карачаево-Черкесской Республики, утвержденной Правительством Карачаево-Черкесской Республики, на очередной финансовый год исходя из фактической стоимости строительства (приобретения) жилья в рамках Программы за предыдущий год с учетом прогнозного уровня инфляции, установленного в Карачаево-Черкесской Республике на очередной финансовый год, но не превышающей средней рыночной стоимости 1 кв. метра общей площади жилья по Карачаево-Черкесской Республике, определяемой Министерством строительства и жилищно-коммунального хозяйства Российской Федерации на первый квартал очередного финансового года.</w:t>
      </w:r>
    </w:p>
    <w:bookmarkEnd w:id="47"/>
    <w:p w:rsidR="00F20F29" w:rsidRDefault="00F20F29">
      <w:pPr>
        <w:pStyle w:val="a6"/>
        <w:rPr>
          <w:color w:val="000000"/>
          <w:sz w:val="16"/>
          <w:szCs w:val="16"/>
        </w:rPr>
      </w:pPr>
      <w:r>
        <w:rPr>
          <w:color w:val="000000"/>
          <w:sz w:val="16"/>
          <w:szCs w:val="16"/>
        </w:rPr>
        <w:t>ГАРАНТ:</w:t>
      </w:r>
    </w:p>
    <w:p w:rsidR="00F20F29" w:rsidRDefault="00F20F29">
      <w:pPr>
        <w:pStyle w:val="a6"/>
      </w:pPr>
      <w:r>
        <w:t xml:space="preserve">См. </w:t>
      </w:r>
      <w:hyperlink r:id="rId27" w:history="1">
        <w:r>
          <w:rPr>
            <w:rStyle w:val="a4"/>
            <w:rFonts w:cs="Arial"/>
          </w:rPr>
          <w:t>Справку</w:t>
        </w:r>
      </w:hyperlink>
      <w:r>
        <w:t xml:space="preserve"> о средней рыночной стоимости 1 кв.метра общей площади жилья и нормативе стоимости 1 кв.метра общей площади жилья</w:t>
      </w:r>
    </w:p>
    <w:p w:rsidR="00F20F29" w:rsidRDefault="00F20F29">
      <w:bookmarkStart w:id="48" w:name="sub_14"/>
      <w:r>
        <w:t xml:space="preserve">14. Правительство Карачаево-Черкесской Республики вправе устанавливать стоимость 1 кв. метра общей площади жилья дифференцированно по муниципальным </w:t>
      </w:r>
      <w:r>
        <w:lastRenderedPageBreak/>
        <w:t>районам, сельским поселениям, сельским населенным пунктам и рабочим поселкам, а также по строительству и приобретению жилья.</w:t>
      </w:r>
    </w:p>
    <w:p w:rsidR="00F20F29" w:rsidRDefault="00F20F29">
      <w:bookmarkStart w:id="49" w:name="sub_15"/>
      <w:bookmarkEnd w:id="48"/>
      <w:r>
        <w:t>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Правительством Карачаево-Черкесской Республики, размер социальной выплаты подлежит пересчету исходя из фактической стоимости 1 кв. метра общей площади жилья.</w:t>
      </w:r>
    </w:p>
    <w:p w:rsidR="00F20F29" w:rsidRDefault="00F20F29">
      <w:bookmarkStart w:id="50" w:name="sub_151"/>
      <w:bookmarkEnd w:id="49"/>
      <w: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F20F29" w:rsidRDefault="00F20F29">
      <w:bookmarkStart w:id="51" w:name="sub_16"/>
      <w:bookmarkEnd w:id="50"/>
      <w:r>
        <w:t>16.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F20F29" w:rsidRDefault="00F20F29">
      <w:bookmarkStart w:id="52" w:name="sub_161"/>
      <w:bookmarkEnd w:id="51"/>
      <w:r>
        <w:t xml:space="preserve">При этом стоимость не завершенного строительством жилого дома, определенная в установленном </w:t>
      </w:r>
      <w:hyperlink r:id="rId28" w:history="1">
        <w:r>
          <w:rPr>
            <w:rStyle w:val="a4"/>
            <w:rFonts w:cs="Arial"/>
          </w:rPr>
          <w:t>законодательством</w:t>
        </w:r>
      </w:hyperlink>
      <w:r>
        <w:t xml:space="preserve"> порядке, учитывается в качестве собственных средств гражданина в софинансировании строительства жилого дома в соответствии с </w:t>
      </w:r>
      <w:hyperlink w:anchor="sub_4" w:history="1">
        <w:r>
          <w:rPr>
            <w:rStyle w:val="a4"/>
            <w:rFonts w:cs="Arial"/>
          </w:rPr>
          <w:t>пунктом 4</w:t>
        </w:r>
      </w:hyperlink>
      <w:r>
        <w:t xml:space="preserve"> настоящего Порядка.</w:t>
      </w:r>
    </w:p>
    <w:p w:rsidR="00F20F29" w:rsidRDefault="00F20F29">
      <w:bookmarkStart w:id="53" w:name="sub_17"/>
      <w:bookmarkEnd w:id="52"/>
      <w:r>
        <w:t xml:space="preserve">17. Определение размера социальной выплаты производится Уполномоченным органом в соответствии с </w:t>
      </w:r>
      <w:hyperlink w:anchor="sub_13" w:history="1">
        <w:r>
          <w:rPr>
            <w:rStyle w:val="a4"/>
            <w:rFonts w:cs="Arial"/>
          </w:rPr>
          <w:t>пунктами 13-16</w:t>
        </w:r>
      </w:hyperlink>
      <w:r>
        <w:t xml:space="preserve"> настоящего Порядка.</w:t>
      </w:r>
    </w:p>
    <w:p w:rsidR="00F20F29" w:rsidRDefault="00F20F29">
      <w:bookmarkStart w:id="54" w:name="sub_18"/>
      <w:bookmarkEnd w:id="53"/>
      <w:r>
        <w:t xml:space="preserve">18. Получатель социальной выплаты вправе осуществить строительство (приобретение) жилья сверх установленного </w:t>
      </w:r>
      <w:hyperlink w:anchor="sub_13" w:history="1">
        <w:r>
          <w:rPr>
            <w:rStyle w:val="a4"/>
            <w:rFonts w:cs="Arial"/>
          </w:rPr>
          <w:t>пунктом 13</w:t>
        </w:r>
      </w:hyperlink>
      <w:r>
        <w:t xml:space="preserve"> настоящего Порядка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F20F29" w:rsidRDefault="00F20F29">
      <w:bookmarkStart w:id="55" w:name="sub_19"/>
      <w:bookmarkEnd w:id="54"/>
      <w:r>
        <w:t>19. Гражданин, имеющий право на получение социальной выплаты, представляет в орган местного самоуправления по месту постоянного жительства заявление с приложением:</w:t>
      </w:r>
    </w:p>
    <w:p w:rsidR="00F20F29" w:rsidRDefault="00F20F29">
      <w:bookmarkStart w:id="56" w:name="sub_191"/>
      <w:bookmarkEnd w:id="55"/>
      <w:r>
        <w:t>а) копий документов, удостоверяющих личность заявителя и членов его семьи;</w:t>
      </w:r>
    </w:p>
    <w:p w:rsidR="00F20F29" w:rsidRDefault="00F20F29">
      <w:bookmarkStart w:id="57" w:name="sub_192"/>
      <w:bookmarkEnd w:id="56"/>
      <w:r>
        <w:t>б) копий документов, подтверждающих родственные отношения между лицами, указанными в заявлении в качестве членов семьи;</w:t>
      </w:r>
    </w:p>
    <w:p w:rsidR="00F20F29" w:rsidRDefault="00F20F29">
      <w:bookmarkStart w:id="58" w:name="sub_193"/>
      <w:bookmarkEnd w:id="57"/>
      <w:r>
        <w:t xml:space="preserve">в) копий документов, подтверждающих наличие у заявителя и (или) членов его семьи собственных и (или) заемных средств в размере, установленном </w:t>
      </w:r>
      <w:hyperlink w:anchor="sub_43" w:history="1">
        <w:r>
          <w:rPr>
            <w:rStyle w:val="a4"/>
            <w:rFonts w:cs="Arial"/>
          </w:rPr>
          <w:t>подпунктом "в" пункта 4</w:t>
        </w:r>
      </w:hyperlink>
      <w:r>
        <w:t xml:space="preserve"> настоящего Порядка, а также при необходимости право заявителя (лица, состоящего в зарегистрированном браке с заявителем) на получение материнского (семейного) капитала, к которым относятся один из следующих документов:</w:t>
      </w:r>
    </w:p>
    <w:p w:rsidR="00F20F29" w:rsidRDefault="00F20F29">
      <w:bookmarkStart w:id="59" w:name="sub_1931"/>
      <w:bookmarkEnd w:id="58"/>
      <w:r>
        <w:t xml:space="preserve">копия </w:t>
      </w:r>
      <w:hyperlink r:id="rId29" w:history="1">
        <w:r>
          <w:rPr>
            <w:rStyle w:val="a4"/>
            <w:rFonts w:cs="Arial"/>
          </w:rPr>
          <w:t>договора займа</w:t>
        </w:r>
      </w:hyperlink>
      <w:r>
        <w:t>, заключенного с юридическим лицом, индивидуальным предпринимателем, физическим лицом, с указанием цели, срока и суммы займа с приложением документов, подтверждающих факт выдачи займа;</w:t>
      </w:r>
    </w:p>
    <w:p w:rsidR="00F20F29" w:rsidRDefault="00F20F29">
      <w:bookmarkStart w:id="60" w:name="sub_1932"/>
      <w:bookmarkEnd w:id="59"/>
      <w:r>
        <w:t>копия платежного документа, подтверждающего внесение денежных средств гражданином на расчетный счет или в кассу подрядчика, заказчика-застройщика, продавца строительных материалов и оборудования для строительства жилого дома в счет оплаты или предварительной оплаты строительных работ, строительных материалов и оборудования для строительства жилого дома, с приложением актов выполненных работ и справок о стоимости выполненных работ и затрат, а также документов, подтверждающих получение строительных материалов и оборудования для строительства жилого дома;</w:t>
      </w:r>
    </w:p>
    <w:p w:rsidR="00F20F29" w:rsidRDefault="00F20F29">
      <w:bookmarkStart w:id="61" w:name="sub_1933"/>
      <w:bookmarkEnd w:id="60"/>
      <w:r>
        <w:t xml:space="preserve">копия </w:t>
      </w:r>
      <w:hyperlink r:id="rId30" w:history="1">
        <w:r>
          <w:rPr>
            <w:rStyle w:val="a4"/>
            <w:rFonts w:cs="Arial"/>
          </w:rPr>
          <w:t>кредитного договора</w:t>
        </w:r>
      </w:hyperlink>
      <w:r>
        <w:t>, заключенного с кредитной организацией в целях строительства (приобретения) жилья, с приложением выписки с лицевого счета заемщика, подтверждающей факт выдачи кредита;</w:t>
      </w:r>
    </w:p>
    <w:p w:rsidR="00F20F29" w:rsidRDefault="00F20F29">
      <w:bookmarkStart w:id="62" w:name="sub_1934"/>
      <w:bookmarkEnd w:id="61"/>
      <w:r>
        <w:lastRenderedPageBreak/>
        <w:t>документ, оформленный кредитной организацией, подтверждающий возможность предоставления жилищного кредита (займа), в том числе ипотечного на приобретение (строительство) жилья;</w:t>
      </w:r>
    </w:p>
    <w:p w:rsidR="00F20F29" w:rsidRDefault="00F20F29">
      <w:bookmarkStart w:id="63" w:name="sub_1935"/>
      <w:bookmarkEnd w:id="62"/>
      <w:r>
        <w:t>копия выписки из лицевого счета по вкладу гражданина и (или) члена(ов) их семей, выданная кредитной организацией;</w:t>
      </w:r>
    </w:p>
    <w:p w:rsidR="00F20F29" w:rsidRDefault="00F20F29">
      <w:bookmarkStart w:id="64" w:name="sub_1936"/>
      <w:bookmarkEnd w:id="63"/>
      <w:r>
        <w:t>копия справки о состоянии финансовой части лицевого счета, подтверждающая право гражданина (лица, состоящего в зарегистрированном браке с гражданином), на получение материнского (семейного) капитала, выданная территориальным органом Пенсионного фонда Российской Федерации (представляется до получения свидетельства о предоставлении социальной выплаты на строительство (приобретение) жилья в сельской местности);</w:t>
      </w:r>
    </w:p>
    <w:p w:rsidR="00F20F29" w:rsidRDefault="00F20F29">
      <w:bookmarkStart w:id="65" w:name="sub_1937"/>
      <w:bookmarkEnd w:id="64"/>
      <w:r>
        <w:t xml:space="preserve">копия документа об оценке объекта, не завершенного строительства жилого дома, подготовленного в соответствии с требованиями </w:t>
      </w:r>
      <w:hyperlink r:id="rId31" w:history="1">
        <w:r>
          <w:rPr>
            <w:rStyle w:val="a4"/>
            <w:rFonts w:cs="Arial"/>
          </w:rPr>
          <w:t>Федерального закона</w:t>
        </w:r>
      </w:hyperlink>
      <w:r>
        <w:t xml:space="preserve"> от 29 июля 1998 года N 135-ФЗ "Об оценочной деятельности в Российской Федерации", при условии получения социальной выплаты на завершение ранее начатого строительства жилого дома (представляется до получения свидетельства о предоставлении социальной выплаты на строительство (приобретение) жилья в сельской местности);</w:t>
      </w:r>
    </w:p>
    <w:p w:rsidR="00F20F29" w:rsidRDefault="00F20F29">
      <w:bookmarkStart w:id="66" w:name="sub_194"/>
      <w:bookmarkEnd w:id="65"/>
      <w:r>
        <w:t>г) документа, подтверждающего признание гражданина нуждающимся в улучшении жилищных условий;</w:t>
      </w:r>
    </w:p>
    <w:p w:rsidR="00F20F29" w:rsidRDefault="00F20F29">
      <w:bookmarkStart w:id="67" w:name="sub_195"/>
      <w:bookmarkEnd w:id="66"/>
      <w: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F20F29" w:rsidRDefault="00F20F29">
      <w:bookmarkStart w:id="68" w:name="sub_196"/>
      <w:bookmarkEnd w:id="67"/>
      <w:r>
        <w:t>е) иных документов, предусматривающих разрешение на строительство жилья и подтверждающих стоимость жилья, планируемого к строительству (приобретению).</w:t>
      </w:r>
    </w:p>
    <w:p w:rsidR="00F20F29" w:rsidRDefault="00F20F29">
      <w:bookmarkStart w:id="69" w:name="sub_197"/>
      <w:bookmarkEnd w:id="68"/>
      <w:r>
        <w:t>Документами, предусматривающими разрешение на строительство жилья, являются:</w:t>
      </w:r>
    </w:p>
    <w:p w:rsidR="00F20F29" w:rsidRDefault="00F20F29">
      <w:bookmarkStart w:id="70" w:name="sub_1971"/>
      <w:bookmarkEnd w:id="69"/>
      <w:r>
        <w:t>правоустанавливающие документы на земельный участок, предоставленный под строительство жилья; разрешение на строительство; проект строящегося дома.</w:t>
      </w:r>
    </w:p>
    <w:p w:rsidR="00F20F29" w:rsidRDefault="00F20F29">
      <w:bookmarkStart w:id="71" w:name="sub_198"/>
      <w:bookmarkEnd w:id="70"/>
      <w:r>
        <w:t>Документами, подтверждающими стоимость жилья, планируемого к строительству (приобретению), являются:</w:t>
      </w:r>
    </w:p>
    <w:p w:rsidR="00F20F29" w:rsidRDefault="00F20F29">
      <w:bookmarkStart w:id="72" w:name="sub_1981"/>
      <w:bookmarkEnd w:id="71"/>
      <w:r>
        <w:t xml:space="preserve">документ об оценке объекта, не завершенного строительства жилого дома, подготовленного в соответствии с требованиями </w:t>
      </w:r>
      <w:hyperlink r:id="rId32" w:history="1">
        <w:r>
          <w:rPr>
            <w:rStyle w:val="a4"/>
            <w:rFonts w:cs="Arial"/>
          </w:rPr>
          <w:t>Федерального закона</w:t>
        </w:r>
      </w:hyperlink>
      <w:r>
        <w:t xml:space="preserve"> от 29 июля 1998 года N 135-ФЗ "Об оценочной деятельности в Российской Федерации";</w:t>
      </w:r>
    </w:p>
    <w:bookmarkStart w:id="73" w:name="sub_1982"/>
    <w:bookmarkEnd w:id="72"/>
    <w:p w:rsidR="00F20F29" w:rsidRDefault="00F20F29">
      <w:r>
        <w:fldChar w:fldCharType="begin"/>
      </w:r>
      <w:r>
        <w:instrText>HYPERLINK "garantF1://12038267.4"</w:instrText>
      </w:r>
      <w:r>
        <w:fldChar w:fldCharType="separate"/>
      </w:r>
      <w:r>
        <w:rPr>
          <w:rStyle w:val="a4"/>
          <w:rFonts w:cs="Arial"/>
        </w:rPr>
        <w:t>договор участия в долевом строительстве</w:t>
      </w:r>
      <w:r>
        <w:fldChar w:fldCharType="end"/>
      </w:r>
      <w:r>
        <w:t xml:space="preserve"> - при участии в долевом строительстве жилых домов (квартир) в сельской местности;</w:t>
      </w:r>
    </w:p>
    <w:p w:rsidR="00F20F29" w:rsidRDefault="00F20F29">
      <w:bookmarkStart w:id="74" w:name="sub_1983"/>
      <w:bookmarkEnd w:id="73"/>
      <w:r>
        <w:t xml:space="preserve">предварительный </w:t>
      </w:r>
      <w:hyperlink r:id="rId33" w:history="1">
        <w:r>
          <w:rPr>
            <w:rStyle w:val="a4"/>
            <w:rFonts w:cs="Arial"/>
          </w:rPr>
          <w:t>договор купли-продажи</w:t>
        </w:r>
      </w:hyperlink>
      <w:r>
        <w:t xml:space="preserve"> - при приобретении жилья; технический паспорт - при приобретении жилья.</w:t>
      </w:r>
    </w:p>
    <w:p w:rsidR="00F20F29" w:rsidRDefault="00F20F29">
      <w:bookmarkStart w:id="75" w:name="sub_20"/>
      <w:bookmarkEnd w:id="74"/>
      <w:r>
        <w:t xml:space="preserve">20. Копии документов, указанных в </w:t>
      </w:r>
      <w:hyperlink w:anchor="sub_19" w:history="1">
        <w:r>
          <w:rPr>
            <w:rStyle w:val="a4"/>
            <w:rFonts w:cs="Arial"/>
          </w:rPr>
          <w:t>пункте 19</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F20F29" w:rsidRDefault="00F20F29">
      <w:bookmarkStart w:id="76" w:name="sub_210"/>
      <w:bookmarkEnd w:id="75"/>
      <w:r>
        <w:t xml:space="preserve">21. Органы местного самоуправления проверяют правильность оформления документов, указанных в </w:t>
      </w:r>
      <w:hyperlink w:anchor="sub_19" w:history="1">
        <w:r>
          <w:rPr>
            <w:rStyle w:val="a4"/>
            <w:rFonts w:cs="Arial"/>
          </w:rPr>
          <w:t>пункте 19</w:t>
        </w:r>
      </w:hyperlink>
      <w:r>
        <w:t xml:space="preserve"> настоящего Порядка,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 Уполномоченный орган.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F20F29" w:rsidRDefault="00F20F29">
      <w:bookmarkStart w:id="77" w:name="sub_22"/>
      <w:bookmarkEnd w:id="76"/>
      <w:r>
        <w:t xml:space="preserve">22. Уполномоченный орган на основании представленных органами местного </w:t>
      </w:r>
      <w:r>
        <w:lastRenderedPageBreak/>
        <w:t xml:space="preserve">самоуправления списков, указанных в </w:t>
      </w:r>
      <w:hyperlink w:anchor="sub_210" w:history="1">
        <w:r>
          <w:rPr>
            <w:rStyle w:val="a4"/>
            <w:rFonts w:cs="Arial"/>
          </w:rPr>
          <w:t>пункте 21</w:t>
        </w:r>
      </w:hyperlink>
      <w:r>
        <w:t xml:space="preserve"> настоящего Порядка,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
    <w:p w:rsidR="00F20F29" w:rsidRDefault="00F20F29">
      <w:bookmarkStart w:id="78" w:name="sub_221"/>
      <w:bookmarkEnd w:id="77"/>
      <w:r>
        <w:t xml:space="preserve">Уполномоченный орган вправе внести изменения в сводный список, утвержденный на очередной финансовый год, с учетом объема субсидии, предусмотренного бюджету Карачаево-Черкесской Республики на очередной финансовый год на мероприятия, указанные в </w:t>
      </w:r>
      <w:hyperlink w:anchor="sub_2" w:history="1">
        <w:r>
          <w:rPr>
            <w:rStyle w:val="a4"/>
            <w:rFonts w:cs="Arial"/>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w:t>
      </w:r>
      <w:hyperlink r:id="rId34" w:history="1">
        <w:r>
          <w:rPr>
            <w:rStyle w:val="a4"/>
            <w:rFonts w:cs="Arial"/>
          </w:rPr>
          <w:t>приложением N 3</w:t>
        </w:r>
      </w:hyperlink>
      <w:r>
        <w:t xml:space="preserve"> к Программе.</w:t>
      </w:r>
    </w:p>
    <w:p w:rsidR="00F20F29" w:rsidRDefault="00F20F29">
      <w:bookmarkStart w:id="79" w:name="sub_23"/>
      <w:bookmarkEnd w:id="78"/>
      <w:r>
        <w:t xml:space="preserve">23. Уполномоченный орган заключает с кредитной организацией, прошедшей отбор, имеющей подразделения в муниципальных районах Карачаево-Черкесской Республики, осуществляющей банковские операции по открытию и ведению банковских счетов физических лиц, по переводу денежных средств по поручению физических лиц по их банковским счетам, соглашение о порядке обслуживания социальных выплат, в котором предусматриваются основания для заключения с получателями социальных выплат </w:t>
      </w:r>
      <w:hyperlink r:id="rId35" w:history="1">
        <w:r>
          <w:rPr>
            <w:rStyle w:val="a4"/>
            <w:rFonts w:cs="Arial"/>
          </w:rPr>
          <w:t>договора банковского счета</w:t>
        </w:r>
      </w:hyperlink>
      <w:r>
        <w:t>,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 Отбор кредитных организаций осуществляется по результатам проведения конкурса, в порядке, определенном Уполномоченным органом.</w:t>
      </w:r>
    </w:p>
    <w:p w:rsidR="00F20F29" w:rsidRDefault="00F20F29">
      <w:bookmarkStart w:id="80" w:name="sub_24"/>
      <w:bookmarkEnd w:id="79"/>
      <w:r>
        <w:t>24. Получатель социальной выплаты в течение 5 календарных дней с момента получения свидетельства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20F29" w:rsidRDefault="00F20F29">
      <w:bookmarkStart w:id="81" w:name="sub_25"/>
      <w:bookmarkEnd w:id="80"/>
      <w:r>
        <w:t xml:space="preserve">25. Уполномоченный орган в срок не более 30 календарных дней с момента зачисления субсидии, предоставленной из федерального бюджета Карачаево-Черкесской Республике на мероприятия, указанные в </w:t>
      </w:r>
      <w:hyperlink w:anchor="sub_2" w:history="1">
        <w:r>
          <w:rPr>
            <w:rStyle w:val="a4"/>
            <w:rFonts w:cs="Arial"/>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w:t>
      </w:r>
      <w:hyperlink r:id="rId36" w:history="1">
        <w:r>
          <w:rPr>
            <w:rStyle w:val="a4"/>
            <w:rFonts w:cs="Arial"/>
          </w:rPr>
          <w:t>приложением N 3</w:t>
        </w:r>
      </w:hyperlink>
      <w:r>
        <w:t xml:space="preserve"> к Программе,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 перечисляет средства социальных выплат на банковские счета получателей социальных выплат.</w:t>
      </w:r>
    </w:p>
    <w:p w:rsidR="00F20F29" w:rsidRDefault="00F20F29">
      <w:bookmarkStart w:id="82" w:name="sub_26"/>
      <w:bookmarkEnd w:id="81"/>
      <w:r>
        <w:t>26. Уполномоченный орган уведомляет получателей социальных выплат о поступлении денежных средств на их банковские счета.</w:t>
      </w:r>
    </w:p>
    <w:p w:rsidR="00F20F29" w:rsidRDefault="00F20F29">
      <w:bookmarkStart w:id="83" w:name="sub_27"/>
      <w:bookmarkEnd w:id="82"/>
      <w:r>
        <w:t>27. Перечисление социальных выплат с банковских счетов получателей социальных выплат производится кредитной организацией:</w:t>
      </w:r>
    </w:p>
    <w:p w:rsidR="00F20F29" w:rsidRDefault="00F20F29">
      <w:bookmarkStart w:id="84" w:name="sub_271"/>
      <w:bookmarkEnd w:id="83"/>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20F29" w:rsidRDefault="00F20F29">
      <w:bookmarkStart w:id="85" w:name="sub_272"/>
      <w:bookmarkEnd w:id="84"/>
      <w:r>
        <w:t>б) исполнителю (подрядчику), указанному в договоре подряда на строительство жилого дома для получателя социальной выплаты;</w:t>
      </w:r>
    </w:p>
    <w:p w:rsidR="00F20F29" w:rsidRDefault="00F20F29">
      <w:bookmarkStart w:id="86" w:name="sub_273"/>
      <w:bookmarkEnd w:id="85"/>
      <w: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w:t>
      </w:r>
      <w:r>
        <w:lastRenderedPageBreak/>
        <w:t xml:space="preserve">долевого строительства, оформленном в соответствии с требованиями </w:t>
      </w:r>
      <w:hyperlink r:id="rId37" w:history="1">
        <w:r>
          <w:rPr>
            <w:rStyle w:val="a4"/>
            <w:rFonts w:cs="Arial"/>
          </w:rPr>
          <w:t>Федерального 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20F29" w:rsidRDefault="00F20F29">
      <w:bookmarkStart w:id="87" w:name="sub_274"/>
      <w:bookmarkEnd w:id="86"/>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F20F29" w:rsidRDefault="00F20F29">
      <w:bookmarkStart w:id="88" w:name="sub_275"/>
      <w:bookmarkEnd w:id="87"/>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F20F29" w:rsidRDefault="00F20F29">
      <w:bookmarkStart w:id="89" w:name="sub_28"/>
      <w:bookmarkEnd w:id="88"/>
      <w:r>
        <w:t xml:space="preserve">28. Указанные в </w:t>
      </w:r>
      <w:hyperlink w:anchor="sub_27" w:history="1">
        <w:r>
          <w:rPr>
            <w:rStyle w:val="a4"/>
            <w:rFonts w:cs="Arial"/>
          </w:rPr>
          <w:t>пункте 27</w:t>
        </w:r>
      </w:hyperlink>
      <w:r>
        <w:t xml:space="preserve"> настоящего Порядка договоры до представления их в кредитную организацию проходят проверку в Уполномоченном органе на предмет соответствия сведений, указанных в них, сведениям, содержащимся в свидетельствах.</w:t>
      </w:r>
    </w:p>
    <w:p w:rsidR="00F20F29" w:rsidRDefault="00F20F29">
      <w:bookmarkStart w:id="90" w:name="sub_29"/>
      <w:bookmarkEnd w:id="89"/>
      <w:r>
        <w:t xml:space="preserve">29. После перечисления социальной выплаты с банковского счета получателя социальной выплаты лицам, указанным в </w:t>
      </w:r>
      <w:hyperlink w:anchor="sub_27" w:history="1">
        <w:r>
          <w:rPr>
            <w:rStyle w:val="a4"/>
            <w:rFonts w:cs="Arial"/>
          </w:rPr>
          <w:t>пункте 27</w:t>
        </w:r>
      </w:hyperlink>
      <w:r>
        <w:t xml:space="preserve"> настоящего Порядка, кредитная организация направляет в Уполномоченный орган, выдавший свидетельство, подлинник свидетельства с отметкой о произведенной оплате.</w:t>
      </w:r>
    </w:p>
    <w:p w:rsidR="00F20F29" w:rsidRDefault="00F20F29">
      <w:bookmarkStart w:id="91" w:name="sub_291"/>
      <w:bookmarkEnd w:id="90"/>
      <w:r>
        <w:t>Свидетельство подлежит хранению в течение 5 лет.</w:t>
      </w:r>
    </w:p>
    <w:p w:rsidR="00F20F29" w:rsidRDefault="00F20F29">
      <w:bookmarkStart w:id="92" w:name="sub_30"/>
      <w:bookmarkEnd w:id="91"/>
      <w:r>
        <w:t>30. Жилое помещение оформляется в общую собственность всех членов семьи, указанных в свидетельстве, в течение срока действия свидетельства.</w:t>
      </w:r>
    </w:p>
    <w:p w:rsidR="00F20F29" w:rsidRDefault="00F20F29">
      <w:bookmarkStart w:id="93" w:name="sub_301"/>
      <w:bookmarkEnd w:id="92"/>
      <w:r>
        <w:t>В случае использования для софинансирования строительства (приобретения) жилья ипотечного жилищного кредита (займа) допускается</w:t>
      </w:r>
    </w:p>
    <w:bookmarkEnd w:id="93"/>
    <w:p w:rsidR="00F20F29" w:rsidRDefault="00F20F29">
      <w:r>
        <w:t>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Уполномоченный орган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20F29" w:rsidRDefault="00F20F29">
      <w:bookmarkStart w:id="94" w:name="sub_302"/>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38" w:history="1">
        <w:r>
          <w:rPr>
            <w:rStyle w:val="a4"/>
            <w:rFonts w:cs="Arial"/>
          </w:rPr>
          <w:t>Правилами</w:t>
        </w:r>
      </w:hyperlink>
      <w:r>
        <w:t xml:space="preserve"> направления средств (части средств) материнского (семейного) капитала на улучшение жилищных условий, утвержденными </w:t>
      </w:r>
      <w:hyperlink r:id="rId39" w:history="1">
        <w:r>
          <w:rPr>
            <w:rStyle w:val="a4"/>
            <w:rFonts w:cs="Arial"/>
          </w:rPr>
          <w:t>постановлением</w:t>
        </w:r>
      </w:hyperlink>
      <w: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F20F29" w:rsidRDefault="00F20F29">
      <w:bookmarkStart w:id="95" w:name="sub_303"/>
      <w:bookmarkEnd w:id="94"/>
      <w:r>
        <w:t>Уполномоченный орган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F20F29" w:rsidRDefault="00F20F29">
      <w:bookmarkStart w:id="96" w:name="sub_31"/>
      <w:bookmarkEnd w:id="95"/>
      <w:r>
        <w:t xml:space="preserve">31. Уполномоченный орган ведет реестры выданных свидетельств по форме согласно </w:t>
      </w:r>
      <w:hyperlink w:anchor="sub_1001" w:history="1">
        <w:r>
          <w:rPr>
            <w:rStyle w:val="a4"/>
            <w:rFonts w:cs="Arial"/>
          </w:rPr>
          <w:t>приложению</w:t>
        </w:r>
      </w:hyperlink>
      <w:r>
        <w:t xml:space="preserve"> к настоящему Порядку.</w:t>
      </w:r>
    </w:p>
    <w:p w:rsidR="00F20F29" w:rsidRDefault="00F20F29">
      <w:bookmarkStart w:id="97" w:name="sub_32"/>
      <w:bookmarkEnd w:id="96"/>
      <w:r>
        <w:t>32. Органы местного самоуправления вправе на основании соглашений, заключенных с Уполномоченным органом, осуществлять выполнение следующих функций:</w:t>
      </w:r>
    </w:p>
    <w:p w:rsidR="00F20F29" w:rsidRDefault="00F20F29">
      <w:bookmarkStart w:id="98" w:name="sub_321"/>
      <w:bookmarkEnd w:id="97"/>
      <w:r>
        <w:t>а) вручение получателям социальных выплат свидетельств, оформленных в установленном порядке органами исполнительной власти;</w:t>
      </w:r>
    </w:p>
    <w:p w:rsidR="00F20F29" w:rsidRDefault="00F20F29">
      <w:bookmarkStart w:id="99" w:name="sub_322"/>
      <w:bookmarkEnd w:id="98"/>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F20F29" w:rsidRDefault="00F20F29">
      <w:bookmarkStart w:id="100" w:name="sub_323"/>
      <w:bookmarkEnd w:id="99"/>
      <w:r>
        <w:lastRenderedPageBreak/>
        <w:t xml:space="preserve">в) заключение с кредитными организациями соглашений, предусмотренных </w:t>
      </w:r>
      <w:hyperlink w:anchor="sub_23" w:history="1">
        <w:r>
          <w:rPr>
            <w:rStyle w:val="a4"/>
            <w:rFonts w:cs="Arial"/>
          </w:rPr>
          <w:t>пунктом 23</w:t>
        </w:r>
      </w:hyperlink>
      <w:r>
        <w:t xml:space="preserve"> настоящего Порядка,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F20F29" w:rsidRDefault="00F20F29">
      <w:bookmarkStart w:id="101" w:name="sub_324"/>
      <w:bookmarkEnd w:id="100"/>
      <w:r>
        <w:t xml:space="preserve">г) проверка указанных в </w:t>
      </w:r>
      <w:hyperlink w:anchor="sub_27" w:history="1">
        <w:r>
          <w:rPr>
            <w:rStyle w:val="a4"/>
            <w:rFonts w:cs="Arial"/>
          </w:rPr>
          <w:t>пункте 27</w:t>
        </w:r>
      </w:hyperlink>
      <w:r>
        <w:t xml:space="preserve"> настоящего Порядка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20F29" w:rsidRDefault="00F20F29">
      <w:bookmarkStart w:id="102" w:name="sub_325"/>
      <w:bookmarkEnd w:id="101"/>
      <w:r>
        <w:t>д) ведение реестров выданных свидетельств;</w:t>
      </w:r>
    </w:p>
    <w:p w:rsidR="00F20F29" w:rsidRDefault="00F20F29">
      <w:bookmarkStart w:id="103" w:name="sub_326"/>
      <w:bookmarkEnd w:id="102"/>
      <w: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bookmarkEnd w:id="103"/>
    <w:p w:rsidR="00F20F29" w:rsidRDefault="00F20F29"/>
    <w:p w:rsidR="00F20F29" w:rsidRDefault="00F20F29">
      <w:pPr>
        <w:pStyle w:val="1"/>
      </w:pPr>
      <w:bookmarkStart w:id="104" w:name="sub_300"/>
      <w:r>
        <w:t>3. Порядок предоставления социальных выплат молодым семьям и молодым специалистам</w:t>
      </w:r>
    </w:p>
    <w:bookmarkEnd w:id="104"/>
    <w:p w:rsidR="00F20F29" w:rsidRDefault="00F20F29"/>
    <w:p w:rsidR="00F20F29" w:rsidRDefault="00F20F29">
      <w:bookmarkStart w:id="105" w:name="sub_33"/>
      <w:r>
        <w:t>33. Право на получение социальных выплат на условиях, предусмотренных настоящим разделом, имеют:</w:t>
      </w:r>
    </w:p>
    <w:p w:rsidR="00F20F29" w:rsidRDefault="00F20F29">
      <w:bookmarkStart w:id="106" w:name="sub_331"/>
      <w:bookmarkEnd w:id="105"/>
      <w: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w:anchor="sub_39" w:history="1">
        <w:r>
          <w:rPr>
            <w:rStyle w:val="a4"/>
            <w:rFonts w:cs="Arial"/>
          </w:rPr>
          <w:t>пунктом 39</w:t>
        </w:r>
      </w:hyperlink>
      <w:r>
        <w:t xml:space="preserve"> настоящего Порядка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p w:rsidR="00F20F29" w:rsidRDefault="00F20F29">
      <w:bookmarkStart w:id="107" w:name="sub_332"/>
      <w:bookmarkEnd w:id="106"/>
      <w: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F20F29" w:rsidRDefault="00F20F29">
      <w:bookmarkStart w:id="108" w:name="sub_333"/>
      <w:bookmarkEnd w:id="107"/>
      <w: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F20F29" w:rsidRDefault="00F20F29">
      <w:bookmarkStart w:id="109" w:name="sub_334"/>
      <w:bookmarkEnd w:id="108"/>
      <w:r>
        <w:t xml:space="preserve">признание молодой семьи нуждающейся в улучшении жилищных условий в соответствии с </w:t>
      </w:r>
      <w:hyperlink w:anchor="sub_4" w:history="1">
        <w:r>
          <w:rPr>
            <w:rStyle w:val="a4"/>
            <w:rFonts w:cs="Arial"/>
          </w:rPr>
          <w:t>пунктом 4</w:t>
        </w:r>
      </w:hyperlink>
      <w:r>
        <w:t xml:space="preserve"> настоящего Порядка;</w:t>
      </w:r>
    </w:p>
    <w:p w:rsidR="00F20F29" w:rsidRDefault="00F20F29">
      <w:bookmarkStart w:id="110" w:name="sub_335"/>
      <w:bookmarkEnd w:id="109"/>
      <w:r>
        <w:t xml:space="preserve">наличие у молодой семьи собственных и (или) заемных средств в соответствии с </w:t>
      </w:r>
      <w:hyperlink w:anchor="sub_4" w:history="1">
        <w:r>
          <w:rPr>
            <w:rStyle w:val="a4"/>
            <w:rFonts w:cs="Arial"/>
          </w:rPr>
          <w:t>пунктом 4</w:t>
        </w:r>
      </w:hyperlink>
      <w:r>
        <w:t xml:space="preserve"> настоящего Порядке;</w:t>
      </w:r>
    </w:p>
    <w:p w:rsidR="00F20F29" w:rsidRDefault="00F20F29">
      <w:bookmarkStart w:id="111" w:name="sub_336"/>
      <w:bookmarkEnd w:id="110"/>
      <w: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F20F29" w:rsidRDefault="00F20F29">
      <w:bookmarkStart w:id="112" w:name="sub_337"/>
      <w:bookmarkEnd w:id="111"/>
      <w: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F20F29" w:rsidRDefault="00F20F29">
      <w:bookmarkStart w:id="113" w:name="sub_338"/>
      <w:bookmarkEnd w:id="112"/>
      <w: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F20F29" w:rsidRDefault="00F20F29">
      <w:bookmarkStart w:id="114" w:name="sub_339"/>
      <w:bookmarkEnd w:id="113"/>
      <w:r>
        <w:t xml:space="preserve">признание молодого специалиста (и членов его семьи) нуждающимся в </w:t>
      </w:r>
      <w:r>
        <w:lastRenderedPageBreak/>
        <w:t xml:space="preserve">улучшении жилищных условий в соответствии с </w:t>
      </w:r>
      <w:hyperlink w:anchor="sub_4" w:history="1">
        <w:r>
          <w:rPr>
            <w:rStyle w:val="a4"/>
            <w:rFonts w:cs="Arial"/>
          </w:rPr>
          <w:t>пунктом 4</w:t>
        </w:r>
      </w:hyperlink>
      <w:r>
        <w:t xml:space="preserve"> настоящего Порядка;</w:t>
      </w:r>
    </w:p>
    <w:p w:rsidR="00F20F29" w:rsidRDefault="00F20F29">
      <w:bookmarkStart w:id="115" w:name="sub_3310"/>
      <w:bookmarkEnd w:id="114"/>
      <w:r>
        <w:t xml:space="preserve">наличие у молодого специалиста (и членов его семьи) собственных и (или) заемных средств в соответствии с </w:t>
      </w:r>
      <w:hyperlink w:anchor="sub_43" w:history="1">
        <w:r>
          <w:rPr>
            <w:rStyle w:val="a4"/>
            <w:rFonts w:cs="Arial"/>
          </w:rPr>
          <w:t>подпунктом "в" пункта 4</w:t>
        </w:r>
      </w:hyperlink>
      <w:r>
        <w:t xml:space="preserve"> настоящего Порядка.</w:t>
      </w:r>
    </w:p>
    <w:p w:rsidR="00F20F29" w:rsidRDefault="00F20F29">
      <w:bookmarkStart w:id="116" w:name="sub_34"/>
      <w:bookmarkEnd w:id="115"/>
      <w:r>
        <w:t>34.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F20F29" w:rsidRDefault="00F20F29">
      <w:bookmarkStart w:id="117" w:name="sub_35"/>
      <w:bookmarkEnd w:id="116"/>
      <w:r>
        <w:t xml:space="preserve">35. Под молодыми семьями и молодыми специалистами, указанными в </w:t>
      </w:r>
      <w:hyperlink w:anchor="sub_34" w:history="1">
        <w:r>
          <w:rPr>
            <w:rStyle w:val="a4"/>
            <w:rFonts w:cs="Arial"/>
          </w:rPr>
          <w:t>пункте 34</w:t>
        </w:r>
      </w:hyperlink>
      <w:r>
        <w:t xml:space="preserve"> настоящего Порядка, понимаются:</w:t>
      </w:r>
    </w:p>
    <w:p w:rsidR="00F20F29" w:rsidRDefault="00F20F29">
      <w:bookmarkStart w:id="118" w:name="sub_351"/>
      <w:bookmarkEnd w:id="117"/>
      <w:r>
        <w:t>а) молодые семьи и молодые специалисты (и члены их семей), соответствующие в совокупности следующим условиям:</w:t>
      </w:r>
    </w:p>
    <w:p w:rsidR="00F20F29" w:rsidRDefault="00F20F29">
      <w:bookmarkStart w:id="119" w:name="sub_3511"/>
      <w:bookmarkEnd w:id="118"/>
      <w: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F20F29" w:rsidRDefault="00F20F29">
      <w:bookmarkStart w:id="120" w:name="sub_3512"/>
      <w:bookmarkEnd w:id="119"/>
      <w: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F20F29" w:rsidRDefault="00F20F29">
      <w:bookmarkStart w:id="121" w:name="sub_3513"/>
      <w:bookmarkEnd w:id="120"/>
      <w:r>
        <w:t xml:space="preserve">зарегистрированы по месту пребывания в соответствии с </w:t>
      </w:r>
      <w:hyperlink r:id="rId40" w:history="1">
        <w:r>
          <w:rPr>
            <w:rStyle w:val="a4"/>
            <w:rFonts w:cs="Arial"/>
          </w:rPr>
          <w:t>законодательством</w:t>
        </w:r>
      </w:hyperlink>
      <w:r>
        <w:t xml:space="preserve"> Российской Федерации;</w:t>
      </w:r>
    </w:p>
    <w:p w:rsidR="00F20F29" w:rsidRDefault="00F20F29">
      <w:bookmarkStart w:id="122" w:name="sub_3514"/>
      <w:bookmarkEnd w:id="121"/>
      <w:r>
        <w:t>не имеют в собственности жилого помещения (жилого дома) в сельской местности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F20F29" w:rsidRDefault="00F20F29">
      <w:bookmarkStart w:id="123" w:name="sub_352"/>
      <w:bookmarkEnd w:id="122"/>
      <w: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F20F29" w:rsidRDefault="00F20F29">
      <w:bookmarkStart w:id="124" w:name="sub_36"/>
      <w:bookmarkEnd w:id="123"/>
      <w:r>
        <w:t>36. В настоящем Порядке:</w:t>
      </w:r>
    </w:p>
    <w:p w:rsidR="00F20F29" w:rsidRDefault="00F20F29">
      <w:bookmarkStart w:id="125" w:name="sub_361"/>
      <w:bookmarkEnd w:id="124"/>
      <w:r>
        <w:t xml:space="preserve">а) под агропромышленным комплексом понимаются сельскохозяйственные товаропроизводители, признанные таковыми в соответствии со </w:t>
      </w:r>
      <w:hyperlink r:id="rId41" w:history="1">
        <w:r>
          <w:rPr>
            <w:rStyle w:val="a4"/>
            <w:rFonts w:cs="Arial"/>
          </w:rPr>
          <w:t>статьей 3</w:t>
        </w:r>
      </w:hyperlink>
      <w:r>
        <w:t xml:space="preserve"> Федерального закона "О развитии сельского хозяйства";</w:t>
      </w:r>
    </w:p>
    <w:p w:rsidR="00F20F29" w:rsidRDefault="00F20F29">
      <w:bookmarkStart w:id="126" w:name="sub_362"/>
      <w:bookmarkEnd w:id="125"/>
      <w: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F20F29" w:rsidRDefault="00F20F29">
      <w:bookmarkStart w:id="127" w:name="sub_37"/>
      <w:bookmarkEnd w:id="126"/>
      <w:r>
        <w:t>37. Предоставление молодым семьям и молодым специалистам социальных выплат осуществляется согласно следующей очередности:</w:t>
      </w:r>
    </w:p>
    <w:p w:rsidR="00F20F29" w:rsidRDefault="00F20F29">
      <w:bookmarkStart w:id="128" w:name="sub_371"/>
      <w:bookmarkEnd w:id="127"/>
      <w:r>
        <w:t xml:space="preserve">а) молодым семьям и молодым специалистам, указанным в </w:t>
      </w:r>
      <w:hyperlink w:anchor="sub_34" w:history="1">
        <w:r>
          <w:rPr>
            <w:rStyle w:val="a4"/>
            <w:rFonts w:cs="Arial"/>
          </w:rPr>
          <w:t>пункте 34</w:t>
        </w:r>
      </w:hyperlink>
      <w:r>
        <w:t xml:space="preserve"> настоящего Порядка, изъявившим желание работать по трудовым договорам или осуществлять индивидуальную предпринимательскую деятельность в агропромышленном комплексе </w:t>
      </w:r>
      <w:r>
        <w:lastRenderedPageBreak/>
        <w:t>и улучшить жилищные условия путем строительства жилого дома или участия в долевом строительстве жилых домов (квартир);</w:t>
      </w:r>
    </w:p>
    <w:p w:rsidR="00F20F29" w:rsidRDefault="00F20F29">
      <w:bookmarkStart w:id="129" w:name="sub_372"/>
      <w:bookmarkEnd w:id="128"/>
      <w:r>
        <w:t xml:space="preserve">б) молодым семьям и молодым специалистам, указанным в </w:t>
      </w:r>
      <w:hyperlink w:anchor="sub_34" w:history="1">
        <w:r>
          <w:rPr>
            <w:rStyle w:val="a4"/>
            <w:rFonts w:cs="Arial"/>
          </w:rPr>
          <w:t>пункте 34</w:t>
        </w:r>
      </w:hyperlink>
      <w:r>
        <w:t xml:space="preserve"> настоящего Порядка,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F20F29" w:rsidRDefault="00F20F29">
      <w:bookmarkStart w:id="130" w:name="sub_373"/>
      <w:bookmarkEnd w:id="129"/>
      <w:r>
        <w:t xml:space="preserve">в) молодым семьям и молодым специалистам, указанным в </w:t>
      </w:r>
      <w:hyperlink w:anchor="sub_33" w:history="1">
        <w:r>
          <w:rPr>
            <w:rStyle w:val="a4"/>
            <w:rFonts w:cs="Arial"/>
          </w:rPr>
          <w:t>пункте 33</w:t>
        </w:r>
      </w:hyperlink>
      <w:r>
        <w:t xml:space="preserve"> настоящего Порядка,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F20F29" w:rsidRDefault="00F20F29">
      <w:bookmarkStart w:id="131" w:name="sub_374"/>
      <w:bookmarkEnd w:id="130"/>
      <w:r>
        <w:t xml:space="preserve">г) молодым семьям и молодым специалистам, указанным в </w:t>
      </w:r>
      <w:hyperlink w:anchor="sub_33" w:history="1">
        <w:r>
          <w:rPr>
            <w:rStyle w:val="a4"/>
            <w:rFonts w:cs="Arial"/>
          </w:rPr>
          <w:t>пункте 33</w:t>
        </w:r>
      </w:hyperlink>
      <w:r>
        <w:t xml:space="preserve"> настоящего Порядка,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F20F29" w:rsidRDefault="00F20F29">
      <w:bookmarkStart w:id="132" w:name="sub_375"/>
      <w:bookmarkEnd w:id="131"/>
      <w:r>
        <w:t xml:space="preserve">д) молодым семьям и молодым специалистам, указанным в </w:t>
      </w:r>
      <w:hyperlink w:anchor="sub_34" w:history="1">
        <w:r>
          <w:rPr>
            <w:rStyle w:val="a4"/>
            <w:rFonts w:cs="Arial"/>
          </w:rPr>
          <w:t>пункте 34</w:t>
        </w:r>
      </w:hyperlink>
      <w:r>
        <w:t xml:space="preserve"> настоящего Порядка,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F20F29" w:rsidRDefault="00F20F29">
      <w:bookmarkStart w:id="133" w:name="sub_376"/>
      <w:bookmarkEnd w:id="132"/>
      <w:r>
        <w:t xml:space="preserve">е) молодым семьям и молодым специалистам, указанным в </w:t>
      </w:r>
      <w:hyperlink w:anchor="sub_34" w:history="1">
        <w:r>
          <w:rPr>
            <w:rStyle w:val="a4"/>
            <w:rFonts w:cs="Arial"/>
          </w:rPr>
          <w:t>пункте 34</w:t>
        </w:r>
      </w:hyperlink>
      <w:r>
        <w:t xml:space="preserve"> настоящего Порядка,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F20F29" w:rsidRDefault="00F20F29">
      <w:bookmarkStart w:id="134" w:name="sub_377"/>
      <w:bookmarkEnd w:id="133"/>
      <w:r>
        <w:t xml:space="preserve">ж) молодым семьям и молодым специалистам, указанным в </w:t>
      </w:r>
      <w:hyperlink w:anchor="sub_33" w:history="1">
        <w:r>
          <w:rPr>
            <w:rStyle w:val="a4"/>
            <w:rFonts w:cs="Arial"/>
          </w:rPr>
          <w:t>пункте 33</w:t>
        </w:r>
      </w:hyperlink>
      <w:r>
        <w:t xml:space="preserve"> настоящего Порядка,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F20F29" w:rsidRDefault="00F20F29">
      <w:bookmarkStart w:id="135" w:name="sub_378"/>
      <w:bookmarkEnd w:id="134"/>
      <w:r>
        <w:t xml:space="preserve">з) молодым семьям и молодым специалистам, указанным в </w:t>
      </w:r>
      <w:hyperlink w:anchor="sub_33" w:history="1">
        <w:r>
          <w:rPr>
            <w:rStyle w:val="a4"/>
            <w:rFonts w:cs="Arial"/>
          </w:rPr>
          <w:t>пункте 33</w:t>
        </w:r>
      </w:hyperlink>
      <w:r>
        <w:t xml:space="preserve"> настоящего Порядка,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F20F29" w:rsidRDefault="00F20F29">
      <w:bookmarkStart w:id="136" w:name="sub_38"/>
      <w:bookmarkEnd w:id="135"/>
      <w:r>
        <w:t xml:space="preserve">38. В каждой из указанных в </w:t>
      </w:r>
      <w:hyperlink w:anchor="sub_37" w:history="1">
        <w:r>
          <w:rPr>
            <w:rStyle w:val="a4"/>
            <w:rFonts w:cs="Arial"/>
          </w:rPr>
          <w:t>пункте 37</w:t>
        </w:r>
      </w:hyperlink>
      <w:r>
        <w:t xml:space="preserve"> настоящего Порядка групп очередность определяется в хронологической последовательности по дате подачи заявления в соответствии с </w:t>
      </w:r>
      <w:hyperlink w:anchor="sub_39" w:history="1">
        <w:r>
          <w:rPr>
            <w:rStyle w:val="a4"/>
            <w:rFonts w:cs="Arial"/>
          </w:rPr>
          <w:t>пунктом 39</w:t>
        </w:r>
      </w:hyperlink>
      <w:r>
        <w:t xml:space="preserve"> настоящего Порядка с учетом первоочередного предоставления социальных выплат молодым семьям и молодым специалистам:</w:t>
      </w:r>
    </w:p>
    <w:p w:rsidR="00F20F29" w:rsidRDefault="00F20F29">
      <w:bookmarkStart w:id="137" w:name="sub_381"/>
      <w:bookmarkEnd w:id="136"/>
      <w:r>
        <w:t>а) имеющим трех и более детей;</w:t>
      </w:r>
    </w:p>
    <w:p w:rsidR="00F20F29" w:rsidRDefault="00F20F29">
      <w:bookmarkStart w:id="138" w:name="sub_382"/>
      <w:bookmarkEnd w:id="137"/>
      <w:r>
        <w:t xml:space="preserve">б) включенным в списки молодых семей и молодых специалистов, изъявивших желание улучшить жилищные условия с использованием социальных выплат в рамках </w:t>
      </w:r>
      <w:hyperlink r:id="rId42" w:history="1">
        <w:r>
          <w:rPr>
            <w:rStyle w:val="a4"/>
            <w:rFonts w:cs="Arial"/>
          </w:rPr>
          <w:t>федеральной целевой программы</w:t>
        </w:r>
      </w:hyperlink>
      <w:r>
        <w:t xml:space="preserve"> "Социальное развитие села до 2013 года", утвержденной </w:t>
      </w:r>
      <w:hyperlink r:id="rId43" w:history="1">
        <w:r>
          <w:rPr>
            <w:rStyle w:val="a4"/>
            <w:rFonts w:cs="Arial"/>
          </w:rPr>
          <w:t>постановлением</w:t>
        </w:r>
      </w:hyperlink>
      <w:r>
        <w:t xml:space="preserve"> Правительства Российской Федерации от 3.12.2002 N 858 "О федеральной целевой программе "Социальное развитие села до 2013 года".</w:t>
      </w:r>
    </w:p>
    <w:p w:rsidR="00F20F29" w:rsidRDefault="00F20F29">
      <w:bookmarkStart w:id="139" w:name="sub_39"/>
      <w:bookmarkEnd w:id="138"/>
      <w:r>
        <w:t>39. Молодые семьи и молодые специалисты представляют в органы местного самоуправления заявление с приложением:</w:t>
      </w:r>
    </w:p>
    <w:p w:rsidR="00F20F29" w:rsidRDefault="00F20F29">
      <w:bookmarkStart w:id="140" w:name="sub_391"/>
      <w:bookmarkEnd w:id="139"/>
      <w:r>
        <w:t>а) копий документов, удостоверяющих личность заявителя и членов его семьи;</w:t>
      </w:r>
    </w:p>
    <w:p w:rsidR="00F20F29" w:rsidRDefault="00F20F29">
      <w:bookmarkStart w:id="141" w:name="sub_392"/>
      <w:bookmarkEnd w:id="140"/>
      <w:r>
        <w:t>б) копии документа об образовании молодого специалиста либо справки из образовательной организации о его обучении на последнем курсе этой образовательной организации;</w:t>
      </w:r>
    </w:p>
    <w:p w:rsidR="00F20F29" w:rsidRDefault="00F20F29">
      <w:bookmarkStart w:id="142" w:name="sub_393"/>
      <w:bookmarkEnd w:id="141"/>
      <w:r>
        <w:t xml:space="preserve">в) копии </w:t>
      </w:r>
      <w:hyperlink r:id="rId44" w:history="1">
        <w:r>
          <w:rPr>
            <w:rStyle w:val="a4"/>
            <w:rFonts w:cs="Arial"/>
          </w:rPr>
          <w:t>свидетельства</w:t>
        </w:r>
      </w:hyperlink>
      <w:r>
        <w:t xml:space="preserve"> о браке (для лиц, состоящих в браке);</w:t>
      </w:r>
    </w:p>
    <w:p w:rsidR="00F20F29" w:rsidRDefault="00F20F29">
      <w:bookmarkStart w:id="143" w:name="sub_394"/>
      <w:bookmarkEnd w:id="142"/>
      <w:r>
        <w:lastRenderedPageBreak/>
        <w:t>г) копии свидетельства о рождении (или об усыновлении) ребенка (детей);</w:t>
      </w:r>
    </w:p>
    <w:p w:rsidR="00F20F29" w:rsidRDefault="00F20F29">
      <w:bookmarkStart w:id="144" w:name="sub_395"/>
      <w:bookmarkEnd w:id="143"/>
      <w:r>
        <w:t>д)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F20F29" w:rsidRDefault="00F20F29">
      <w:bookmarkStart w:id="145" w:name="sub_396"/>
      <w:bookmarkEnd w:id="144"/>
      <w: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F20F29" w:rsidRDefault="00F20F29">
      <w:bookmarkStart w:id="146" w:name="sub_397"/>
      <w:bookmarkEnd w:id="145"/>
      <w:r>
        <w:t xml:space="preserve">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w:anchor="sub_34" w:history="1">
        <w:r>
          <w:rPr>
            <w:rStyle w:val="a4"/>
            <w:rFonts w:cs="Arial"/>
          </w:rPr>
          <w:t>пунктом 34</w:t>
        </w:r>
      </w:hyperlink>
      <w:r>
        <w:t xml:space="preserve"> настоящего Порядка (для лиц, изъявивших желание постоянно проживать в сельской местности);</w:t>
      </w:r>
    </w:p>
    <w:p w:rsidR="00F20F29" w:rsidRDefault="00F20F29">
      <w:bookmarkStart w:id="147" w:name="sub_398"/>
      <w:bookmarkEnd w:id="146"/>
      <w:r>
        <w:t xml:space="preserve">з) копий документов, подтверждающих наличие у заявителя собственных и (или) заемных средств в соответствии с </w:t>
      </w:r>
      <w:hyperlink w:anchor="sub_4" w:history="1">
        <w:r>
          <w:rPr>
            <w:rStyle w:val="a4"/>
            <w:rFonts w:cs="Arial"/>
          </w:rPr>
          <w:t>пунктом 4</w:t>
        </w:r>
      </w:hyperlink>
      <w:r>
        <w:t xml:space="preserve"> настоящего Порядка, к которым относятся один из следующих документов:</w:t>
      </w:r>
    </w:p>
    <w:p w:rsidR="00F20F29" w:rsidRDefault="00F20F29">
      <w:bookmarkStart w:id="148" w:name="sub_399"/>
      <w:bookmarkEnd w:id="147"/>
      <w:r>
        <w:t>копия договора займа, заключенного с юридическим лицом, индивидуальным предпринимателем, физическим лицом, с указанием цели, срока и суммы займа с приложением документов, подтверждающих факт выдачи займа;</w:t>
      </w:r>
    </w:p>
    <w:p w:rsidR="00F20F29" w:rsidRDefault="00F20F29">
      <w:bookmarkStart w:id="149" w:name="sub_3910"/>
      <w:bookmarkEnd w:id="148"/>
      <w:r>
        <w:t>копия платежного документа, подтверждающего внесение денежных средств гражданином на расчетный счет или в кассу подрядчика, заказчика-застройщика, продавца строительных материалов и оборудования для строительства жилого дома в счет оплаты или предварительной оплаты строительных работ, строительных материалов и оборудования для строительства жилого дома, с приложением актов выполненных работ и справок о стоимости выполненных работ и затрат, а также документов.</w:t>
      </w:r>
    </w:p>
    <w:p w:rsidR="00F20F29" w:rsidRDefault="00F20F29">
      <w:bookmarkStart w:id="150" w:name="sub_3911"/>
      <w:bookmarkEnd w:id="149"/>
      <w:r>
        <w:t>подтверждающих получение строительных материалов и оборудования для строительства жилого дома;</w:t>
      </w:r>
    </w:p>
    <w:p w:rsidR="00F20F29" w:rsidRDefault="00F20F29">
      <w:bookmarkStart w:id="151" w:name="sub_3912"/>
      <w:bookmarkEnd w:id="150"/>
      <w:r>
        <w:t>копия кредитного договора, заключенного с кредитной организацией в целях строительства (приобретения) жилья, с приложением выписки с лицевого счета заемщика, подтверждающей факт выдачи кредита;</w:t>
      </w:r>
    </w:p>
    <w:p w:rsidR="00F20F29" w:rsidRDefault="00F20F29">
      <w:bookmarkStart w:id="152" w:name="sub_3913"/>
      <w:bookmarkEnd w:id="151"/>
      <w:r>
        <w:t>документ, оформленный кредитной организацией, подтверждающий возможность предоставления жилищного кредита (займа), в том числе ипотечного на приобретение (строительство) жилья;</w:t>
      </w:r>
    </w:p>
    <w:p w:rsidR="00F20F29" w:rsidRDefault="00F20F29">
      <w:bookmarkStart w:id="153" w:name="sub_3914"/>
      <w:bookmarkEnd w:id="152"/>
      <w:r>
        <w:t>копия выписки из лицевого счета по вкладу гражданина и (или) члена(ов) их семей, выданная кредитной организацией;</w:t>
      </w:r>
    </w:p>
    <w:p w:rsidR="00F20F29" w:rsidRDefault="00F20F29">
      <w:bookmarkStart w:id="154" w:name="sub_3915"/>
      <w:bookmarkEnd w:id="153"/>
      <w:r>
        <w:t>копия справки о состоянии финансовой части лицевого счета, подтверждающая право гражданина (лица, состоящего в зарегистрированном браке с гражданином), на получение материнского (семейного) капитала, выданная территориальным органом Пенсионного фонда Российской Федерации (представляется до получения свидетельства о предоставлении социальной выплаты на строительство (приобретение) жилья в сельской местности);</w:t>
      </w:r>
    </w:p>
    <w:p w:rsidR="00F20F29" w:rsidRDefault="00F20F29">
      <w:bookmarkStart w:id="155" w:name="sub_3916"/>
      <w:bookmarkEnd w:id="154"/>
      <w:r>
        <w:t xml:space="preserve">копия документа об оценке объекта, не завершенного строительством жилого дома, подготовленного в соответствии с требованиями </w:t>
      </w:r>
      <w:hyperlink r:id="rId45" w:history="1">
        <w:r>
          <w:rPr>
            <w:rStyle w:val="a4"/>
            <w:rFonts w:cs="Arial"/>
          </w:rPr>
          <w:t>Федерального закона</w:t>
        </w:r>
      </w:hyperlink>
      <w:r>
        <w:t xml:space="preserve"> от 29 июля 1998 года N 135-ФЗ "Об оценочной деятельности в Российской Федерации", при условии получения социальной выплаты на завершение ранее начатого строительства жилого дома (представляется до получения свидетельства о предоставлении социальной выплаты на строительство (приобретение) жилья в сельской местности);</w:t>
      </w:r>
    </w:p>
    <w:p w:rsidR="00F20F29" w:rsidRDefault="00F20F29">
      <w:bookmarkStart w:id="156" w:name="sub_3917"/>
      <w:bookmarkEnd w:id="155"/>
      <w: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w:t>
      </w:r>
    </w:p>
    <w:p w:rsidR="00F20F29" w:rsidRDefault="00F20F29">
      <w:bookmarkStart w:id="157" w:name="sub_3918"/>
      <w:bookmarkEnd w:id="156"/>
      <w:r>
        <w:lastRenderedPageBreak/>
        <w:t>Документами, предусматривающими разрешение на строительство жилья, являются:</w:t>
      </w:r>
    </w:p>
    <w:p w:rsidR="00F20F29" w:rsidRDefault="00F20F29">
      <w:bookmarkStart w:id="158" w:name="sub_3919"/>
      <w:bookmarkEnd w:id="157"/>
      <w:r>
        <w:t>правоустанавливающие документы на земельный участок, предоставленный под строительство жилья; разрешение на строительство; проект строящегося дома.</w:t>
      </w:r>
    </w:p>
    <w:p w:rsidR="00F20F29" w:rsidRDefault="00F20F29">
      <w:bookmarkStart w:id="159" w:name="sub_3920"/>
      <w:bookmarkEnd w:id="158"/>
      <w:r>
        <w:t>Документами, подтверждающими стоимость жилья, планируемого к строительству (приобретению), являются:</w:t>
      </w:r>
    </w:p>
    <w:p w:rsidR="00F20F29" w:rsidRDefault="00F20F29">
      <w:bookmarkStart w:id="160" w:name="sub_3921"/>
      <w:bookmarkEnd w:id="159"/>
      <w:r>
        <w:t xml:space="preserve">документ об оценке объекта, не завершенного строительства жилого дома, подготовленного в соответствии с требованиями </w:t>
      </w:r>
      <w:hyperlink r:id="rId46" w:history="1">
        <w:r>
          <w:rPr>
            <w:rStyle w:val="a4"/>
            <w:rFonts w:cs="Arial"/>
          </w:rPr>
          <w:t>Федерального закона</w:t>
        </w:r>
      </w:hyperlink>
      <w:r>
        <w:t xml:space="preserve"> от 29 июля 1998 года N 135-ФЗ "Об оценочной деятельности в Российской Федерации";</w:t>
      </w:r>
    </w:p>
    <w:p w:rsidR="00F20F29" w:rsidRDefault="00F20F29">
      <w:bookmarkStart w:id="161" w:name="sub_3922"/>
      <w:bookmarkEnd w:id="160"/>
      <w:r>
        <w:t>договор участия в долевом строительстве - при участии в долевом строительстве жилых домов (квартир) в сельской местности;</w:t>
      </w:r>
    </w:p>
    <w:p w:rsidR="00F20F29" w:rsidRDefault="00F20F29">
      <w:bookmarkStart w:id="162" w:name="sub_3923"/>
      <w:bookmarkEnd w:id="161"/>
      <w:r>
        <w:t>предварительный договор купли-продажи - при приобретении жилья; технический паспорт - при приобретении жилья.</w:t>
      </w:r>
    </w:p>
    <w:p w:rsidR="00F20F29" w:rsidRDefault="00F20F29">
      <w:bookmarkStart w:id="163" w:name="sub_40"/>
      <w:bookmarkEnd w:id="162"/>
      <w:r>
        <w:t xml:space="preserve">40. Копии документов согласно </w:t>
      </w:r>
      <w:hyperlink w:anchor="sub_39" w:history="1">
        <w:r>
          <w:rPr>
            <w:rStyle w:val="a4"/>
            <w:rFonts w:cs="Arial"/>
          </w:rPr>
          <w:t>пункту 39</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F20F29" w:rsidRDefault="00F20F29">
      <w:bookmarkStart w:id="164" w:name="sub_410"/>
      <w:bookmarkEnd w:id="163"/>
      <w:r>
        <w:t xml:space="preserve">41. Предоставление и использование социальных выплат молодым семьям и молодым специалистам осуществляются в порядке, предусмотренном </w:t>
      </w:r>
      <w:hyperlink w:anchor="sub_8" w:history="1">
        <w:r>
          <w:rPr>
            <w:rStyle w:val="a4"/>
            <w:rFonts w:cs="Arial"/>
          </w:rPr>
          <w:t>пунктами 8-18</w:t>
        </w:r>
      </w:hyperlink>
      <w:r>
        <w:t xml:space="preserve"> и </w:t>
      </w:r>
      <w:hyperlink w:anchor="sub_210" w:history="1">
        <w:r>
          <w:rPr>
            <w:rStyle w:val="a4"/>
            <w:rFonts w:cs="Arial"/>
          </w:rPr>
          <w:t>21-32</w:t>
        </w:r>
      </w:hyperlink>
      <w:r>
        <w:t xml:space="preserve"> настоящего Порядка.</w:t>
      </w:r>
    </w:p>
    <w:p w:rsidR="00F20F29" w:rsidRDefault="00F20F29">
      <w:bookmarkStart w:id="165" w:name="sub_420"/>
      <w:bookmarkEnd w:id="164"/>
      <w:r>
        <w:t>42. В случае предоставления молодой семье (молодому специалисту) социальной выплаты Уполномоченный орган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F20F29" w:rsidRDefault="00F20F29">
      <w:bookmarkStart w:id="166" w:name="sub_421"/>
      <w:bookmarkEnd w:id="165"/>
      <w: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либо трехсторонний договор (с участием органа местного самоуправления) либо двухсторонний договор (в случае перечисления субсидий в бюджет соответствующего муниципального образования).</w:t>
      </w:r>
    </w:p>
    <w:p w:rsidR="00F20F29" w:rsidRDefault="00F20F29">
      <w:bookmarkStart w:id="167" w:name="sub_430"/>
      <w:bookmarkEnd w:id="166"/>
      <w:r>
        <w:t xml:space="preserve">43. Существенными условиями договора, указанного в </w:t>
      </w:r>
      <w:hyperlink w:anchor="sub_420" w:history="1">
        <w:r>
          <w:rPr>
            <w:rStyle w:val="a4"/>
            <w:rFonts w:cs="Arial"/>
          </w:rPr>
          <w:t>пункте 42</w:t>
        </w:r>
      </w:hyperlink>
      <w:r>
        <w:t xml:space="preserve"> настоящего Порядка, являются:</w:t>
      </w:r>
    </w:p>
    <w:p w:rsidR="00F20F29" w:rsidRDefault="00F20F29">
      <w:bookmarkStart w:id="168" w:name="sub_4310"/>
      <w:bookmarkEnd w:id="167"/>
      <w: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F20F29" w:rsidRDefault="00F20F29">
      <w:bookmarkStart w:id="169" w:name="sub_432"/>
      <w:bookmarkEnd w:id="168"/>
      <w:r>
        <w:t xml:space="preserve">б) право Уполномоченного органа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w:t>
      </w:r>
      <w:hyperlink w:anchor="sub_4310" w:history="1">
        <w:r>
          <w:rPr>
            <w:rStyle w:val="a4"/>
            <w:rFonts w:cs="Arial"/>
          </w:rPr>
          <w:t>подпунктом "а"</w:t>
        </w:r>
      </w:hyperlink>
      <w:r>
        <w:t xml:space="preserve"> настоящего пункта.</w:t>
      </w:r>
    </w:p>
    <w:p w:rsidR="00F20F29" w:rsidRDefault="00F20F29">
      <w:bookmarkStart w:id="170" w:name="sub_440"/>
      <w:bookmarkEnd w:id="169"/>
      <w:r>
        <w:t xml:space="preserve">44. Одним из условий договора, указанного в </w:t>
      </w:r>
      <w:hyperlink w:anchor="sub_420" w:history="1">
        <w:r>
          <w:rPr>
            <w:rStyle w:val="a4"/>
            <w:rFonts w:cs="Arial"/>
          </w:rPr>
          <w:t>пункте 42</w:t>
        </w:r>
      </w:hyperlink>
      <w:r>
        <w:t xml:space="preserve"> настоящего Порядка,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F20F29" w:rsidRDefault="00F20F29">
      <w:bookmarkStart w:id="171" w:name="sub_45"/>
      <w:bookmarkEnd w:id="170"/>
      <w:r>
        <w:t xml:space="preserve">45. 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w:t>
      </w:r>
      <w:r>
        <w:lastRenderedPageBreak/>
        <w:t>(молодой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F20F29" w:rsidRDefault="00F20F29">
      <w:bookmarkStart w:id="172" w:name="sub_451"/>
      <w:bookmarkEnd w:id="171"/>
      <w: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w:anchor="sub_420" w:history="1">
        <w:r>
          <w:rPr>
            <w:rStyle w:val="a4"/>
            <w:rFonts w:cs="Arial"/>
          </w:rPr>
          <w:t>пункте 42</w:t>
        </w:r>
      </w:hyperlink>
      <w:r>
        <w:t xml:space="preserve"> настоящего Порядка.</w:t>
      </w:r>
    </w:p>
    <w:p w:rsidR="00F20F29" w:rsidRDefault="00F20F29">
      <w:bookmarkStart w:id="173" w:name="sub_452"/>
      <w:bookmarkEnd w:id="172"/>
      <w:r>
        <w:t xml:space="preserve">При несоблюдении указанных условий Уполномоченный орган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договоре, указанном в </w:t>
      </w:r>
      <w:hyperlink w:anchor="sub_420" w:history="1">
        <w:r>
          <w:rPr>
            <w:rStyle w:val="a4"/>
            <w:rFonts w:cs="Arial"/>
          </w:rPr>
          <w:t>пункте 42</w:t>
        </w:r>
      </w:hyperlink>
      <w:r>
        <w:t xml:space="preserve"> настоящего Порядка.</w:t>
      </w:r>
    </w:p>
    <w:p w:rsidR="00F20F29" w:rsidRDefault="00F20F29">
      <w:bookmarkStart w:id="174" w:name="sub_46"/>
      <w:bookmarkEnd w:id="173"/>
      <w:r>
        <w:t xml:space="preserve">46. В случае представления документов в соответствии с </w:t>
      </w:r>
      <w:hyperlink w:anchor="sub_39" w:history="1">
        <w:r>
          <w:rPr>
            <w:rStyle w:val="a4"/>
            <w:rFonts w:cs="Arial"/>
          </w:rPr>
          <w:t>пунктом 39</w:t>
        </w:r>
      </w:hyperlink>
      <w:r>
        <w:t xml:space="preserve"> настоящего Порядка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 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
    <w:bookmarkEnd w:id="174"/>
    <w:p w:rsidR="00F20F29" w:rsidRDefault="00F20F29"/>
    <w:p w:rsidR="00F20F29" w:rsidRDefault="00F20F29"/>
    <w:p w:rsidR="00F20F29" w:rsidRDefault="00F20F29">
      <w:pPr>
        <w:ind w:firstLine="0"/>
        <w:jc w:val="right"/>
      </w:pPr>
      <w:bookmarkStart w:id="175" w:name="sub_1001"/>
      <w:r>
        <w:rPr>
          <w:rStyle w:val="a3"/>
          <w:bCs/>
        </w:rPr>
        <w:t>Приложение</w:t>
      </w:r>
    </w:p>
    <w:bookmarkEnd w:id="175"/>
    <w:p w:rsidR="00F20F29" w:rsidRDefault="00F20F29">
      <w:pPr>
        <w:ind w:firstLine="0"/>
        <w:jc w:val="right"/>
      </w:pPr>
      <w:r>
        <w:rPr>
          <w:rStyle w:val="a3"/>
          <w:bCs/>
        </w:rPr>
        <w:t xml:space="preserve">к </w:t>
      </w:r>
      <w:hyperlink w:anchor="sub_1000" w:history="1">
        <w:r>
          <w:rPr>
            <w:rStyle w:val="a4"/>
            <w:rFonts w:cs="Arial"/>
          </w:rPr>
          <w:t>Порядку</w:t>
        </w:r>
      </w:hyperlink>
    </w:p>
    <w:p w:rsidR="00F20F29" w:rsidRDefault="00F20F29"/>
    <w:p w:rsidR="00F20F29" w:rsidRDefault="00F20F29">
      <w:pPr>
        <w:pStyle w:val="1"/>
      </w:pPr>
      <w:r>
        <w:t xml:space="preserve">Реестр </w:t>
      </w:r>
      <w:r>
        <w:br/>
        <w:t>выданных свидетельств о предоставлении социальной выплаты на строительство (приобретение) жилья в сельской местности</w:t>
      </w:r>
    </w:p>
    <w:p w:rsidR="00F20F29" w:rsidRDefault="00F20F29"/>
    <w:p w:rsidR="00F20F29" w:rsidRDefault="00F20F29">
      <w:pPr>
        <w:ind w:firstLine="0"/>
        <w:jc w:val="left"/>
        <w:sectPr w:rsidR="00F20F29">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
        <w:gridCol w:w="1334"/>
        <w:gridCol w:w="1716"/>
        <w:gridCol w:w="783"/>
        <w:gridCol w:w="1152"/>
        <w:gridCol w:w="1054"/>
        <w:gridCol w:w="823"/>
        <w:gridCol w:w="1238"/>
        <w:gridCol w:w="783"/>
        <w:gridCol w:w="1292"/>
        <w:gridCol w:w="1194"/>
        <w:gridCol w:w="823"/>
        <w:gridCol w:w="1327"/>
      </w:tblGrid>
      <w:tr w:rsidR="00F20F29">
        <w:tblPrEx>
          <w:tblCellMar>
            <w:top w:w="0" w:type="dxa"/>
            <w:bottom w:w="0" w:type="dxa"/>
          </w:tblCellMar>
        </w:tblPrEx>
        <w:tc>
          <w:tcPr>
            <w:tcW w:w="14005" w:type="dxa"/>
            <w:gridSpan w:val="13"/>
            <w:tcBorders>
              <w:top w:val="nil"/>
              <w:left w:val="nil"/>
              <w:bottom w:val="single" w:sz="4" w:space="0" w:color="auto"/>
              <w:right w:val="nil"/>
            </w:tcBorders>
          </w:tcPr>
          <w:p w:rsidR="00F20F29" w:rsidRDefault="00F20F29">
            <w:pPr>
              <w:pStyle w:val="a7"/>
              <w:jc w:val="right"/>
            </w:pPr>
            <w:r>
              <w:lastRenderedPageBreak/>
              <w:t>(рублей)</w:t>
            </w:r>
          </w:p>
        </w:tc>
      </w:tr>
      <w:tr w:rsidR="00F20F29">
        <w:tblPrEx>
          <w:tblCellMar>
            <w:top w:w="0" w:type="dxa"/>
            <w:bottom w:w="0" w:type="dxa"/>
          </w:tblCellMar>
        </w:tblPrEx>
        <w:tc>
          <w:tcPr>
            <w:tcW w:w="486" w:type="dxa"/>
            <w:vMerge w:val="restart"/>
            <w:tcBorders>
              <w:top w:val="single" w:sz="4" w:space="0" w:color="auto"/>
              <w:bottom w:val="single" w:sz="4" w:space="0" w:color="auto"/>
              <w:right w:val="single" w:sz="4" w:space="0" w:color="auto"/>
            </w:tcBorders>
          </w:tcPr>
          <w:p w:rsidR="00F20F29" w:rsidRDefault="00F20F29">
            <w:pPr>
              <w:pStyle w:val="a7"/>
              <w:jc w:val="center"/>
            </w:pPr>
            <w:r>
              <w:t>N</w:t>
            </w:r>
            <w:r>
              <w:br/>
              <w:t>п/п</w:t>
            </w:r>
          </w:p>
        </w:tc>
        <w:tc>
          <w:tcPr>
            <w:tcW w:w="1334" w:type="dxa"/>
            <w:vMerge w:val="restart"/>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Номер и дата выдачи свидетельства</w:t>
            </w:r>
          </w:p>
        </w:tc>
        <w:tc>
          <w:tcPr>
            <w:tcW w:w="1716" w:type="dxa"/>
            <w:vMerge w:val="restart"/>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Фамилия, имя, отчество получателя социальной выплаты</w:t>
            </w:r>
          </w:p>
        </w:tc>
        <w:tc>
          <w:tcPr>
            <w:tcW w:w="3812" w:type="dxa"/>
            <w:gridSpan w:val="4"/>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Размер социальной выплаты по свидетельству</w:t>
            </w:r>
          </w:p>
        </w:tc>
        <w:tc>
          <w:tcPr>
            <w:tcW w:w="1238" w:type="dxa"/>
            <w:vMerge w:val="restart"/>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Стоимость строительства (приобретения)</w:t>
            </w:r>
          </w:p>
        </w:tc>
        <w:tc>
          <w:tcPr>
            <w:tcW w:w="4092" w:type="dxa"/>
            <w:gridSpan w:val="4"/>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Размер фактически полученной социальной выплаты</w:t>
            </w:r>
          </w:p>
        </w:tc>
        <w:tc>
          <w:tcPr>
            <w:tcW w:w="1327" w:type="dxa"/>
            <w:vMerge w:val="restart"/>
            <w:tcBorders>
              <w:top w:val="single" w:sz="4" w:space="0" w:color="auto"/>
              <w:left w:val="single" w:sz="4" w:space="0" w:color="auto"/>
              <w:bottom w:val="single" w:sz="4" w:space="0" w:color="auto"/>
            </w:tcBorders>
          </w:tcPr>
          <w:p w:rsidR="00F20F29" w:rsidRDefault="00F20F29">
            <w:pPr>
              <w:pStyle w:val="a7"/>
              <w:jc w:val="center"/>
            </w:pPr>
            <w:r>
              <w:t>Дата оплаты по свидетельству</w:t>
            </w:r>
          </w:p>
        </w:tc>
      </w:tr>
      <w:tr w:rsidR="00F20F29">
        <w:tblPrEx>
          <w:tblCellMar>
            <w:top w:w="0" w:type="dxa"/>
            <w:bottom w:w="0" w:type="dxa"/>
          </w:tblCellMar>
        </w:tblPrEx>
        <w:tc>
          <w:tcPr>
            <w:tcW w:w="486" w:type="dxa"/>
            <w:vMerge/>
            <w:tcBorders>
              <w:top w:val="single" w:sz="4" w:space="0" w:color="auto"/>
              <w:bottom w:val="single" w:sz="4" w:space="0" w:color="auto"/>
              <w:right w:val="single" w:sz="4" w:space="0" w:color="auto"/>
            </w:tcBorders>
          </w:tcPr>
          <w:p w:rsidR="00F20F29" w:rsidRDefault="00F20F29">
            <w:pPr>
              <w:pStyle w:val="a7"/>
            </w:pPr>
          </w:p>
        </w:tc>
        <w:tc>
          <w:tcPr>
            <w:tcW w:w="1334" w:type="dxa"/>
            <w:vMerge/>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716" w:type="dxa"/>
            <w:vMerge/>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Всего</w:t>
            </w:r>
          </w:p>
        </w:tc>
        <w:tc>
          <w:tcPr>
            <w:tcW w:w="3029" w:type="dxa"/>
            <w:gridSpan w:val="3"/>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в том числе по бюджетам</w:t>
            </w:r>
          </w:p>
        </w:tc>
        <w:tc>
          <w:tcPr>
            <w:tcW w:w="1238" w:type="dxa"/>
            <w:vMerge/>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Всего</w:t>
            </w:r>
          </w:p>
        </w:tc>
        <w:tc>
          <w:tcPr>
            <w:tcW w:w="3309" w:type="dxa"/>
            <w:gridSpan w:val="3"/>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в том числе по бюджетам</w:t>
            </w:r>
          </w:p>
        </w:tc>
        <w:tc>
          <w:tcPr>
            <w:tcW w:w="1327" w:type="dxa"/>
            <w:vMerge/>
            <w:tcBorders>
              <w:top w:val="single" w:sz="4" w:space="0" w:color="auto"/>
              <w:left w:val="single" w:sz="4" w:space="0" w:color="auto"/>
              <w:bottom w:val="single" w:sz="4" w:space="0" w:color="auto"/>
            </w:tcBorders>
          </w:tcPr>
          <w:p w:rsidR="00F20F29" w:rsidRDefault="00F20F29">
            <w:pPr>
              <w:pStyle w:val="a7"/>
            </w:pPr>
          </w:p>
        </w:tc>
      </w:tr>
      <w:tr w:rsidR="00F20F29">
        <w:tblPrEx>
          <w:tblCellMar>
            <w:top w:w="0" w:type="dxa"/>
            <w:bottom w:w="0" w:type="dxa"/>
          </w:tblCellMar>
        </w:tblPrEx>
        <w:tc>
          <w:tcPr>
            <w:tcW w:w="486" w:type="dxa"/>
            <w:tcBorders>
              <w:top w:val="single" w:sz="4" w:space="0" w:color="auto"/>
              <w:bottom w:val="single" w:sz="4" w:space="0" w:color="auto"/>
              <w:right w:val="single" w:sz="4" w:space="0" w:color="auto"/>
            </w:tcBorders>
          </w:tcPr>
          <w:p w:rsidR="00F20F29" w:rsidRDefault="00F20F29">
            <w:pPr>
              <w:pStyle w:val="a7"/>
            </w:pPr>
          </w:p>
        </w:tc>
        <w:tc>
          <w:tcPr>
            <w:tcW w:w="133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716"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152"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федеральный</w:t>
            </w:r>
          </w:p>
        </w:tc>
        <w:tc>
          <w:tcPr>
            <w:tcW w:w="1054"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республиканский</w:t>
            </w: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местный</w:t>
            </w:r>
          </w:p>
        </w:tc>
        <w:tc>
          <w:tcPr>
            <w:tcW w:w="1238"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292"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федеральный</w:t>
            </w:r>
          </w:p>
        </w:tc>
        <w:tc>
          <w:tcPr>
            <w:tcW w:w="1194"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республиканский</w:t>
            </w: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местный</w:t>
            </w:r>
          </w:p>
        </w:tc>
        <w:tc>
          <w:tcPr>
            <w:tcW w:w="1327" w:type="dxa"/>
            <w:tcBorders>
              <w:top w:val="single" w:sz="4" w:space="0" w:color="auto"/>
              <w:left w:val="single" w:sz="4" w:space="0" w:color="auto"/>
              <w:bottom w:val="single" w:sz="4" w:space="0" w:color="auto"/>
            </w:tcBorders>
          </w:tcPr>
          <w:p w:rsidR="00F20F29" w:rsidRDefault="00F20F29">
            <w:pPr>
              <w:pStyle w:val="a7"/>
            </w:pPr>
          </w:p>
        </w:tc>
      </w:tr>
      <w:tr w:rsidR="00F20F29">
        <w:tblPrEx>
          <w:tblCellMar>
            <w:top w:w="0" w:type="dxa"/>
            <w:bottom w:w="0" w:type="dxa"/>
          </w:tblCellMar>
        </w:tblPrEx>
        <w:tc>
          <w:tcPr>
            <w:tcW w:w="486" w:type="dxa"/>
            <w:tcBorders>
              <w:top w:val="single" w:sz="4" w:space="0" w:color="auto"/>
              <w:bottom w:val="single" w:sz="4" w:space="0" w:color="auto"/>
              <w:right w:val="single" w:sz="4" w:space="0" w:color="auto"/>
            </w:tcBorders>
          </w:tcPr>
          <w:p w:rsidR="00F20F29" w:rsidRDefault="00F20F29">
            <w:pPr>
              <w:pStyle w:val="a7"/>
              <w:jc w:val="center"/>
            </w:pPr>
            <w:r>
              <w:t>1</w:t>
            </w:r>
          </w:p>
        </w:tc>
        <w:tc>
          <w:tcPr>
            <w:tcW w:w="1334"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2</w:t>
            </w:r>
          </w:p>
        </w:tc>
        <w:tc>
          <w:tcPr>
            <w:tcW w:w="1716"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3</w:t>
            </w: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4</w:t>
            </w:r>
          </w:p>
        </w:tc>
        <w:tc>
          <w:tcPr>
            <w:tcW w:w="1152"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5</w:t>
            </w:r>
          </w:p>
        </w:tc>
        <w:tc>
          <w:tcPr>
            <w:tcW w:w="1054"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6</w:t>
            </w: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7</w:t>
            </w:r>
          </w:p>
        </w:tc>
        <w:tc>
          <w:tcPr>
            <w:tcW w:w="1238"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8</w:t>
            </w: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9</w:t>
            </w:r>
          </w:p>
        </w:tc>
        <w:tc>
          <w:tcPr>
            <w:tcW w:w="1292"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10</w:t>
            </w:r>
          </w:p>
        </w:tc>
        <w:tc>
          <w:tcPr>
            <w:tcW w:w="1194"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11</w:t>
            </w: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jc w:val="center"/>
            </w:pPr>
            <w:r>
              <w:t>12</w:t>
            </w:r>
          </w:p>
        </w:tc>
        <w:tc>
          <w:tcPr>
            <w:tcW w:w="1327" w:type="dxa"/>
            <w:tcBorders>
              <w:top w:val="single" w:sz="4" w:space="0" w:color="auto"/>
              <w:left w:val="single" w:sz="4" w:space="0" w:color="auto"/>
              <w:bottom w:val="single" w:sz="4" w:space="0" w:color="auto"/>
            </w:tcBorders>
          </w:tcPr>
          <w:p w:rsidR="00F20F29" w:rsidRDefault="00F20F29">
            <w:pPr>
              <w:pStyle w:val="a7"/>
              <w:jc w:val="center"/>
            </w:pPr>
            <w:r>
              <w:t>13</w:t>
            </w:r>
          </w:p>
        </w:tc>
      </w:tr>
      <w:tr w:rsidR="00F20F29">
        <w:tblPrEx>
          <w:tblCellMar>
            <w:top w:w="0" w:type="dxa"/>
            <w:bottom w:w="0" w:type="dxa"/>
          </w:tblCellMar>
        </w:tblPrEx>
        <w:tc>
          <w:tcPr>
            <w:tcW w:w="14005" w:type="dxa"/>
            <w:gridSpan w:val="13"/>
            <w:tcBorders>
              <w:top w:val="single" w:sz="4" w:space="0" w:color="auto"/>
              <w:bottom w:val="single" w:sz="4" w:space="0" w:color="auto"/>
            </w:tcBorders>
          </w:tcPr>
          <w:p w:rsidR="00F20F29" w:rsidRDefault="00F20F29">
            <w:pPr>
              <w:pStyle w:val="a9"/>
            </w:pPr>
            <w:r>
              <w:t>Граждане, проживающие в сельской местности</w:t>
            </w:r>
          </w:p>
        </w:tc>
      </w:tr>
      <w:tr w:rsidR="00F20F29">
        <w:tblPrEx>
          <w:tblCellMar>
            <w:top w:w="0" w:type="dxa"/>
            <w:bottom w:w="0" w:type="dxa"/>
          </w:tblCellMar>
        </w:tblPrEx>
        <w:tc>
          <w:tcPr>
            <w:tcW w:w="486" w:type="dxa"/>
            <w:tcBorders>
              <w:top w:val="single" w:sz="4" w:space="0" w:color="auto"/>
              <w:bottom w:val="single" w:sz="4" w:space="0" w:color="auto"/>
              <w:right w:val="single" w:sz="4" w:space="0" w:color="auto"/>
            </w:tcBorders>
          </w:tcPr>
          <w:p w:rsidR="00F20F29" w:rsidRDefault="00F20F29">
            <w:pPr>
              <w:pStyle w:val="a9"/>
            </w:pPr>
            <w:r>
              <w:t>1.</w:t>
            </w:r>
          </w:p>
        </w:tc>
        <w:tc>
          <w:tcPr>
            <w:tcW w:w="133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716"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152"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05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238"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292"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19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327" w:type="dxa"/>
            <w:tcBorders>
              <w:top w:val="single" w:sz="4" w:space="0" w:color="auto"/>
              <w:left w:val="single" w:sz="4" w:space="0" w:color="auto"/>
              <w:bottom w:val="single" w:sz="4" w:space="0" w:color="auto"/>
            </w:tcBorders>
          </w:tcPr>
          <w:p w:rsidR="00F20F29" w:rsidRDefault="00F20F29">
            <w:pPr>
              <w:pStyle w:val="a7"/>
            </w:pPr>
          </w:p>
        </w:tc>
      </w:tr>
      <w:tr w:rsidR="00F20F29">
        <w:tblPrEx>
          <w:tblCellMar>
            <w:top w:w="0" w:type="dxa"/>
            <w:bottom w:w="0" w:type="dxa"/>
          </w:tblCellMar>
        </w:tblPrEx>
        <w:tc>
          <w:tcPr>
            <w:tcW w:w="486" w:type="dxa"/>
            <w:tcBorders>
              <w:top w:val="single" w:sz="4" w:space="0" w:color="auto"/>
              <w:bottom w:val="single" w:sz="4" w:space="0" w:color="auto"/>
              <w:right w:val="single" w:sz="4" w:space="0" w:color="auto"/>
            </w:tcBorders>
          </w:tcPr>
          <w:p w:rsidR="00F20F29" w:rsidRDefault="00F20F29">
            <w:pPr>
              <w:pStyle w:val="a7"/>
            </w:pPr>
          </w:p>
        </w:tc>
        <w:tc>
          <w:tcPr>
            <w:tcW w:w="133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716"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152"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3898" w:type="dxa"/>
            <w:gridSpan w:val="4"/>
            <w:tcBorders>
              <w:top w:val="single" w:sz="4" w:space="0" w:color="auto"/>
              <w:left w:val="single" w:sz="4" w:space="0" w:color="auto"/>
              <w:bottom w:val="single" w:sz="4" w:space="0" w:color="auto"/>
              <w:right w:val="single" w:sz="4" w:space="0" w:color="auto"/>
            </w:tcBorders>
          </w:tcPr>
          <w:p w:rsidR="00F20F29" w:rsidRDefault="00F20F29">
            <w:pPr>
              <w:pStyle w:val="a9"/>
            </w:pPr>
            <w:r>
              <w:t>Молодые семьи и молодые специалисты</w:t>
            </w:r>
          </w:p>
        </w:tc>
        <w:tc>
          <w:tcPr>
            <w:tcW w:w="1292"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19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327" w:type="dxa"/>
            <w:tcBorders>
              <w:top w:val="single" w:sz="4" w:space="0" w:color="auto"/>
              <w:left w:val="single" w:sz="4" w:space="0" w:color="auto"/>
              <w:bottom w:val="single" w:sz="4" w:space="0" w:color="auto"/>
            </w:tcBorders>
          </w:tcPr>
          <w:p w:rsidR="00F20F29" w:rsidRDefault="00F20F29">
            <w:pPr>
              <w:pStyle w:val="a7"/>
            </w:pPr>
          </w:p>
        </w:tc>
      </w:tr>
      <w:tr w:rsidR="00F20F29">
        <w:tblPrEx>
          <w:tblCellMar>
            <w:top w:w="0" w:type="dxa"/>
            <w:bottom w:w="0" w:type="dxa"/>
          </w:tblCellMar>
        </w:tblPrEx>
        <w:tc>
          <w:tcPr>
            <w:tcW w:w="486" w:type="dxa"/>
            <w:tcBorders>
              <w:top w:val="single" w:sz="4" w:space="0" w:color="auto"/>
              <w:bottom w:val="single" w:sz="4" w:space="0" w:color="auto"/>
              <w:right w:val="single" w:sz="4" w:space="0" w:color="auto"/>
            </w:tcBorders>
          </w:tcPr>
          <w:p w:rsidR="00F20F29" w:rsidRDefault="00F20F29">
            <w:pPr>
              <w:pStyle w:val="a9"/>
            </w:pPr>
            <w:r>
              <w:t>1.</w:t>
            </w:r>
          </w:p>
        </w:tc>
        <w:tc>
          <w:tcPr>
            <w:tcW w:w="133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716"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152"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05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238"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78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292"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194"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823" w:type="dxa"/>
            <w:tcBorders>
              <w:top w:val="single" w:sz="4" w:space="0" w:color="auto"/>
              <w:left w:val="single" w:sz="4" w:space="0" w:color="auto"/>
              <w:bottom w:val="single" w:sz="4" w:space="0" w:color="auto"/>
              <w:right w:val="single" w:sz="4" w:space="0" w:color="auto"/>
            </w:tcBorders>
          </w:tcPr>
          <w:p w:rsidR="00F20F29" w:rsidRDefault="00F20F29">
            <w:pPr>
              <w:pStyle w:val="a7"/>
            </w:pPr>
          </w:p>
        </w:tc>
        <w:tc>
          <w:tcPr>
            <w:tcW w:w="1327" w:type="dxa"/>
            <w:tcBorders>
              <w:top w:val="single" w:sz="4" w:space="0" w:color="auto"/>
              <w:left w:val="single" w:sz="4" w:space="0" w:color="auto"/>
              <w:bottom w:val="single" w:sz="4" w:space="0" w:color="auto"/>
            </w:tcBorders>
          </w:tcPr>
          <w:p w:rsidR="00F20F29" w:rsidRDefault="00F20F29">
            <w:pPr>
              <w:pStyle w:val="a7"/>
            </w:pPr>
          </w:p>
        </w:tc>
      </w:tr>
    </w:tbl>
    <w:p w:rsidR="00F20F29" w:rsidRDefault="00F20F29"/>
    <w:p w:rsidR="00F20F29" w:rsidRDefault="00F20F29">
      <w:pPr>
        <w:ind w:firstLine="0"/>
        <w:jc w:val="left"/>
        <w:sectPr w:rsidR="00F20F29">
          <w:pgSz w:w="16837" w:h="11905" w:orient="landscape"/>
          <w:pgMar w:top="1440" w:right="800" w:bottom="1440" w:left="1100" w:header="720" w:footer="720" w:gutter="0"/>
          <w:cols w:space="720"/>
          <w:noEndnote/>
        </w:sectPr>
      </w:pPr>
    </w:p>
    <w:p w:rsidR="00F20F29" w:rsidRDefault="00F20F29">
      <w:r>
        <w:lastRenderedPageBreak/>
        <w:t>Исполнитель: _____________________________________</w:t>
      </w:r>
    </w:p>
    <w:p w:rsidR="00F20F29" w:rsidRDefault="00F20F29">
      <w:r>
        <w:t>___________________ __________________ _________________________</w:t>
      </w:r>
    </w:p>
    <w:p w:rsidR="00F20F29" w:rsidRDefault="00F20F29">
      <w:pPr>
        <w:pStyle w:val="a8"/>
        <w:rPr>
          <w:sz w:val="22"/>
          <w:szCs w:val="22"/>
        </w:rPr>
      </w:pPr>
      <w:r>
        <w:rPr>
          <w:sz w:val="22"/>
          <w:szCs w:val="22"/>
        </w:rPr>
        <w:t xml:space="preserve">         (должность)          (подпись)            (Ф.И.О.)</w:t>
      </w:r>
    </w:p>
    <w:p w:rsidR="00F20F29" w:rsidRDefault="00F20F29"/>
    <w:p w:rsidR="00F20F29" w:rsidRDefault="00F20F29"/>
    <w:p w:rsidR="00F20F29" w:rsidRDefault="00F20F29">
      <w:pPr>
        <w:ind w:firstLine="0"/>
        <w:jc w:val="right"/>
      </w:pPr>
      <w:bookmarkStart w:id="176" w:name="sub_2000"/>
      <w:r>
        <w:rPr>
          <w:rStyle w:val="a3"/>
          <w:bCs/>
        </w:rPr>
        <w:t>Приложение 2</w:t>
      </w:r>
    </w:p>
    <w:bookmarkEnd w:id="176"/>
    <w:p w:rsidR="00F20F29" w:rsidRDefault="00F20F29">
      <w:pPr>
        <w:ind w:firstLine="0"/>
        <w:jc w:val="right"/>
      </w:pPr>
      <w:r>
        <w:rPr>
          <w:rStyle w:val="a3"/>
          <w:bCs/>
        </w:rPr>
        <w:t xml:space="preserve">к </w:t>
      </w:r>
      <w:hyperlink w:anchor="sub_0" w:history="1">
        <w:r>
          <w:rPr>
            <w:rStyle w:val="a4"/>
            <w:rFonts w:cs="Arial"/>
          </w:rPr>
          <w:t>постановлению</w:t>
        </w:r>
      </w:hyperlink>
      <w:r>
        <w:rPr>
          <w:rStyle w:val="a3"/>
          <w:bCs/>
        </w:rPr>
        <w:t xml:space="preserve"> Правительства</w:t>
      </w:r>
    </w:p>
    <w:p w:rsidR="00F20F29" w:rsidRDefault="00F20F29">
      <w:pPr>
        <w:ind w:firstLine="0"/>
        <w:jc w:val="right"/>
      </w:pPr>
      <w:r>
        <w:rPr>
          <w:rStyle w:val="a3"/>
          <w:bCs/>
        </w:rPr>
        <w:t>Карачаево-Черкесской Республики</w:t>
      </w:r>
    </w:p>
    <w:p w:rsidR="00F20F29" w:rsidRDefault="00F20F29">
      <w:pPr>
        <w:ind w:firstLine="0"/>
        <w:jc w:val="right"/>
      </w:pPr>
      <w:r>
        <w:rPr>
          <w:rStyle w:val="a3"/>
          <w:bCs/>
        </w:rPr>
        <w:t>от 19 декабря 2016 г. N 333</w:t>
      </w:r>
    </w:p>
    <w:p w:rsidR="00F20F29" w:rsidRDefault="00F20F29"/>
    <w:p w:rsidR="00F20F29" w:rsidRDefault="00F20F29">
      <w:pPr>
        <w:pStyle w:val="1"/>
      </w:pPr>
      <w:r>
        <w:t xml:space="preserve">Перечень </w:t>
      </w:r>
      <w:r>
        <w:br/>
        <w:t>сельских населенных пунктов и рабочих поселков, входящих в состав городских поселений или городских округов Карачаево-Черкесской Республики, на территории которых преобладает деятельность, связанная с производством и переработкой сельскохозяйственной продукции</w:t>
      </w:r>
    </w:p>
    <w:p w:rsidR="00F20F29" w:rsidRDefault="00F20F29"/>
    <w:p w:rsidR="00F20F29" w:rsidRDefault="00F20F29">
      <w:r>
        <w:t>поселок городского типа Орджоникидзевский</w:t>
      </w:r>
    </w:p>
    <w:p w:rsidR="00F20F29" w:rsidRDefault="00F20F29">
      <w:r>
        <w:t>поселок Малокурганный</w:t>
      </w:r>
    </w:p>
    <w:p w:rsidR="00F20F29" w:rsidRDefault="00F20F29">
      <w:r>
        <w:t>поселок городского типа Эльбрусский</w:t>
      </w:r>
    </w:p>
    <w:p w:rsidR="00F20F29" w:rsidRDefault="00F20F29">
      <w:r>
        <w:t>поселок Мара-Аягъы</w:t>
      </w:r>
    </w:p>
    <w:p w:rsidR="00F20F29" w:rsidRDefault="00F20F29">
      <w:r>
        <w:t>рабочий поселок Медногорский</w:t>
      </w:r>
    </w:p>
    <w:p w:rsidR="00F20F29" w:rsidRDefault="00F20F29">
      <w:r>
        <w:t>поселок городского типа Новый Карачай</w:t>
      </w:r>
    </w:p>
    <w:p w:rsidR="00F20F29" w:rsidRDefault="00F20F29">
      <w:r>
        <w:t>поселок городского типа Правокубанский</w:t>
      </w:r>
    </w:p>
    <w:p w:rsidR="00F20F29" w:rsidRDefault="00F20F29">
      <w:r>
        <w:t>рабочий поселок Ударный</w:t>
      </w:r>
    </w:p>
    <w:p w:rsidR="00F20F29" w:rsidRDefault="00F20F29"/>
    <w:p w:rsidR="00F20F29" w:rsidRDefault="00F20F29"/>
    <w:sectPr w:rsidR="00F20F29">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AE"/>
    <w:rsid w:val="005374AE"/>
    <w:rsid w:val="00646676"/>
    <w:rsid w:val="00F2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825465.0" TargetMode="External"/><Relationship Id="rId13" Type="http://schemas.openxmlformats.org/officeDocument/2006/relationships/hyperlink" Target="garantF1://30825891.0" TargetMode="External"/><Relationship Id="rId18" Type="http://schemas.openxmlformats.org/officeDocument/2006/relationships/hyperlink" Target="garantF1://70319016.0" TargetMode="External"/><Relationship Id="rId26" Type="http://schemas.openxmlformats.org/officeDocument/2006/relationships/hyperlink" Target="garantF1://45304250.1" TargetMode="External"/><Relationship Id="rId39" Type="http://schemas.openxmlformats.org/officeDocument/2006/relationships/hyperlink" Target="garantF1://12057749.0" TargetMode="External"/><Relationship Id="rId3" Type="http://schemas.microsoft.com/office/2007/relationships/stylesWithEffects" Target="stylesWithEffects.xml"/><Relationship Id="rId21" Type="http://schemas.openxmlformats.org/officeDocument/2006/relationships/hyperlink" Target="garantF1://12038291.51" TargetMode="External"/><Relationship Id="rId34" Type="http://schemas.openxmlformats.org/officeDocument/2006/relationships/hyperlink" Target="garantF1://70319016.10300" TargetMode="External"/><Relationship Id="rId42" Type="http://schemas.openxmlformats.org/officeDocument/2006/relationships/hyperlink" Target="garantF1://2059191.1000" TargetMode="External"/><Relationship Id="rId47" Type="http://schemas.openxmlformats.org/officeDocument/2006/relationships/fontTable" Target="fontTable.xml"/><Relationship Id="rId7" Type="http://schemas.openxmlformats.org/officeDocument/2006/relationships/hyperlink" Target="garantF1://30825465.1000" TargetMode="External"/><Relationship Id="rId12" Type="http://schemas.openxmlformats.org/officeDocument/2006/relationships/hyperlink" Target="garantF1://30822407.0" TargetMode="External"/><Relationship Id="rId17" Type="http://schemas.openxmlformats.org/officeDocument/2006/relationships/hyperlink" Target="garantF1://70319016.10000" TargetMode="External"/><Relationship Id="rId25" Type="http://schemas.openxmlformats.org/officeDocument/2006/relationships/hyperlink" Target="garantF1://70319016.10500" TargetMode="External"/><Relationship Id="rId33" Type="http://schemas.openxmlformats.org/officeDocument/2006/relationships/hyperlink" Target="garantF1://10064072.20454" TargetMode="External"/><Relationship Id="rId38" Type="http://schemas.openxmlformats.org/officeDocument/2006/relationships/hyperlink" Target="garantF1://12057749.1000" TargetMode="External"/><Relationship Id="rId46" Type="http://schemas.openxmlformats.org/officeDocument/2006/relationships/hyperlink" Target="garantF1://12012509.0" TargetMode="External"/><Relationship Id="rId2" Type="http://schemas.openxmlformats.org/officeDocument/2006/relationships/styles" Target="styles.xml"/><Relationship Id="rId16" Type="http://schemas.openxmlformats.org/officeDocument/2006/relationships/hyperlink" Target="garantF1://70319016.10600" TargetMode="External"/><Relationship Id="rId20" Type="http://schemas.openxmlformats.org/officeDocument/2006/relationships/hyperlink" Target="garantF1://12057749.0" TargetMode="External"/><Relationship Id="rId29" Type="http://schemas.openxmlformats.org/officeDocument/2006/relationships/hyperlink" Target="garantF1://10064072.20807" TargetMode="External"/><Relationship Id="rId41" Type="http://schemas.openxmlformats.org/officeDocument/2006/relationships/hyperlink" Target="garantF1://12051309.3" TargetMode="External"/><Relationship Id="rId1" Type="http://schemas.openxmlformats.org/officeDocument/2006/relationships/numbering" Target="numbering.xml"/><Relationship Id="rId6" Type="http://schemas.openxmlformats.org/officeDocument/2006/relationships/hyperlink" Target="garantF1://70319016.0" TargetMode="External"/><Relationship Id="rId11" Type="http://schemas.openxmlformats.org/officeDocument/2006/relationships/hyperlink" Target="garantF1://70319016.10000" TargetMode="External"/><Relationship Id="rId24" Type="http://schemas.openxmlformats.org/officeDocument/2006/relationships/hyperlink" Target="garantF1://12044695.0" TargetMode="External"/><Relationship Id="rId32" Type="http://schemas.openxmlformats.org/officeDocument/2006/relationships/hyperlink" Target="garantF1://12012509.0" TargetMode="External"/><Relationship Id="rId37" Type="http://schemas.openxmlformats.org/officeDocument/2006/relationships/hyperlink" Target="garantF1://12038267.0" TargetMode="External"/><Relationship Id="rId40" Type="http://schemas.openxmlformats.org/officeDocument/2006/relationships/hyperlink" Target="garantF1://10002748.5" TargetMode="External"/><Relationship Id="rId45" Type="http://schemas.openxmlformats.org/officeDocument/2006/relationships/hyperlink" Target="garantF1://12012509.0" TargetMode="External"/><Relationship Id="rId5" Type="http://schemas.openxmlformats.org/officeDocument/2006/relationships/webSettings" Target="webSettings.xml"/><Relationship Id="rId15" Type="http://schemas.openxmlformats.org/officeDocument/2006/relationships/hyperlink" Target="garantF1://70319016.0" TargetMode="External"/><Relationship Id="rId23" Type="http://schemas.openxmlformats.org/officeDocument/2006/relationships/hyperlink" Target="garantF1://2059191.0" TargetMode="External"/><Relationship Id="rId28" Type="http://schemas.openxmlformats.org/officeDocument/2006/relationships/hyperlink" Target="garantF1://12012509.1" TargetMode="External"/><Relationship Id="rId36" Type="http://schemas.openxmlformats.org/officeDocument/2006/relationships/hyperlink" Target="garantF1://70319016.10300" TargetMode="External"/><Relationship Id="rId10" Type="http://schemas.openxmlformats.org/officeDocument/2006/relationships/hyperlink" Target="garantF1://70319016.0" TargetMode="External"/><Relationship Id="rId19" Type="http://schemas.openxmlformats.org/officeDocument/2006/relationships/hyperlink" Target="garantF1://12057749.1000" TargetMode="External"/><Relationship Id="rId31" Type="http://schemas.openxmlformats.org/officeDocument/2006/relationships/hyperlink" Target="garantF1://12012509.0" TargetMode="External"/><Relationship Id="rId44" Type="http://schemas.openxmlformats.org/officeDocument/2006/relationships/hyperlink" Target="garantF1://70595476.1200" TargetMode="External"/><Relationship Id="rId4" Type="http://schemas.openxmlformats.org/officeDocument/2006/relationships/settings" Target="settings.xml"/><Relationship Id="rId9" Type="http://schemas.openxmlformats.org/officeDocument/2006/relationships/hyperlink" Target="garantF1://30807078.1000" TargetMode="External"/><Relationship Id="rId14" Type="http://schemas.openxmlformats.org/officeDocument/2006/relationships/hyperlink" Target="garantF1://70319016.10900" TargetMode="External"/><Relationship Id="rId22" Type="http://schemas.openxmlformats.org/officeDocument/2006/relationships/hyperlink" Target="garantF1://2059191.1000" TargetMode="External"/><Relationship Id="rId27" Type="http://schemas.openxmlformats.org/officeDocument/2006/relationships/hyperlink" Target="garantF1://3819370.0" TargetMode="External"/><Relationship Id="rId30" Type="http://schemas.openxmlformats.org/officeDocument/2006/relationships/hyperlink" Target="garantF1://10064072.20819" TargetMode="External"/><Relationship Id="rId35" Type="http://schemas.openxmlformats.org/officeDocument/2006/relationships/hyperlink" Target="garantF1://10064072.845" TargetMode="External"/><Relationship Id="rId43" Type="http://schemas.openxmlformats.org/officeDocument/2006/relationships/hyperlink" Target="garantF1://2059191.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7674</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2018-04-27T07:40:00Z</dcterms:created>
  <dcterms:modified xsi:type="dcterms:W3CDTF">2018-04-27T07:40:00Z</dcterms:modified>
</cp:coreProperties>
</file>