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7" w:rsidRPr="00EB0FE3" w:rsidRDefault="001951B7" w:rsidP="001951B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FE3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1951B7" w:rsidRPr="00877579" w:rsidRDefault="001951B7" w:rsidP="001951B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FE3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1951B7" w:rsidRPr="00EB0FE3" w:rsidRDefault="001951B7" w:rsidP="001951B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0FE3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1951B7" w:rsidRPr="00EB0FE3" w:rsidRDefault="001951B7" w:rsidP="001951B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51B7" w:rsidRDefault="001951B7" w:rsidP="001951B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0F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1951B7" w:rsidRPr="00EB0FE3" w:rsidRDefault="001951B7" w:rsidP="001951B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951B7" w:rsidRPr="00877579" w:rsidTr="0009222F">
        <w:trPr>
          <w:trHeight w:val="363"/>
        </w:trPr>
        <w:tc>
          <w:tcPr>
            <w:tcW w:w="3190" w:type="dxa"/>
          </w:tcPr>
          <w:p w:rsidR="001951B7" w:rsidRPr="00877579" w:rsidRDefault="001951B7" w:rsidP="0009222F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77579">
              <w:rPr>
                <w:rFonts w:ascii="Times New Roman" w:hAnsi="Times New Roman" w:cs="Times New Roman"/>
                <w:sz w:val="28"/>
                <w:szCs w:val="28"/>
              </w:rPr>
              <w:t>«___»___________2021</w:t>
            </w:r>
          </w:p>
        </w:tc>
        <w:tc>
          <w:tcPr>
            <w:tcW w:w="3190" w:type="dxa"/>
          </w:tcPr>
          <w:p w:rsidR="001951B7" w:rsidRPr="00877579" w:rsidRDefault="001951B7" w:rsidP="0009222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7757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г. Черкесск</w:t>
            </w:r>
          </w:p>
        </w:tc>
        <w:tc>
          <w:tcPr>
            <w:tcW w:w="3190" w:type="dxa"/>
          </w:tcPr>
          <w:p w:rsidR="001951B7" w:rsidRPr="00877579" w:rsidRDefault="001951B7" w:rsidP="0009222F">
            <w:pPr>
              <w:widowControl w:val="0"/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87757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№____</w:t>
            </w:r>
          </w:p>
        </w:tc>
      </w:tr>
    </w:tbl>
    <w:p w:rsidR="001951B7" w:rsidRDefault="001951B7" w:rsidP="001951B7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7ECE" w:rsidRDefault="001951B7" w:rsidP="00F26BFD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Карачаево-Черкесской Республики </w:t>
      </w:r>
      <w:r w:rsidRPr="001951B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от 25 июня 2014 года N 196</w:t>
      </w:r>
      <w:r w:rsidRPr="001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</w:t>
      </w:r>
    </w:p>
    <w:p w:rsidR="00F26BFD" w:rsidRPr="00F26BFD" w:rsidRDefault="00F26BFD" w:rsidP="00F26BFD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388" w:rsidRDefault="00557ECE" w:rsidP="00F26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566388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7" w:history="1">
        <w:r w:rsidRPr="00566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</w:t>
        </w:r>
      </w:hyperlink>
      <w:r w:rsidRPr="0056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реализации мероприятий государственной программы "Развитие сельского хозяйства Карачаево</w:t>
      </w:r>
      <w:r w:rsidRPr="00F26BFD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-Черкесской Республики", утвержденной </w:t>
      </w:r>
      <w:hyperlink r:id="rId8" w:history="1">
        <w:r w:rsidRPr="005663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Карачаево-Черкесской Республики от 22.01.2019 N 13</w:t>
        </w:r>
      </w:hyperlink>
      <w:r w:rsidRPr="00566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Карачаево-Черкесской Республики 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Е Т:</w:t>
      </w:r>
      <w:r w:rsidRPr="00491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BFD" w:rsidRPr="00566388" w:rsidRDefault="00566388" w:rsidP="00566388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F26B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постановление Правительства </w:t>
      </w:r>
      <w:r w:rsidRPr="001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</w:t>
      </w:r>
      <w:r w:rsidRPr="001951B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от 25 июня 2014 года N 196</w:t>
      </w:r>
      <w:r w:rsidRPr="0019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</w:t>
      </w:r>
      <w:r w:rsidR="00F26BF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следующее изменение</w:t>
      </w:r>
      <w:proofErr w:type="gramStart"/>
      <w:r w:rsidR="00F26BF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:</w:t>
      </w:r>
      <w:bookmarkStart w:id="0" w:name="sub_2"/>
      <w:proofErr w:type="gramEnd"/>
      <w:r w:rsidR="00F26B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5663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 к постановлению изложить в редакции согласно приложению.</w:t>
      </w:r>
    </w:p>
    <w:p w:rsidR="00566388" w:rsidRPr="00F26BFD" w:rsidRDefault="00566388" w:rsidP="0056638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2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Председателя Правительства Карачаево-Черкесской Республики.</w:t>
      </w:r>
      <w:r w:rsidRPr="00F2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А.А.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Озов</w:t>
      </w:r>
      <w:proofErr w:type="spellEnd"/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и Правительства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М.Н.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Озов</w:t>
      </w:r>
      <w:bookmarkEnd w:id="0"/>
      <w:proofErr w:type="spellEnd"/>
      <w:r w:rsidRPr="001D5B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Первый заместитель Председателя Правительства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Х.У.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Чеккуев</w:t>
      </w:r>
      <w:proofErr w:type="spellEnd"/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Pr="00D04025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аместитель Председателя Правительства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 финансов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</w:t>
      </w:r>
      <w:proofErr w:type="gramEnd"/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                                                                                   М.Х.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Суюнчев</w:t>
      </w:r>
      <w:proofErr w:type="spellEnd"/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Pr="00D04025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аместитель Председателя Правительства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40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                                              Е.С. Поляков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Pr="002B73A7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и Правительства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Ф.Я.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6BFD" w:rsidRPr="00855341" w:rsidRDefault="00F26BFD" w:rsidP="00F26B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F26BFD" w:rsidRPr="00855341" w:rsidRDefault="00F26BFD" w:rsidP="00F26B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</w:t>
      </w:r>
      <w:proofErr w:type="spellStart"/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Накохов</w:t>
      </w:r>
      <w:proofErr w:type="spellEnd"/>
    </w:p>
    <w:p w:rsidR="00F26BFD" w:rsidRPr="00855341" w:rsidRDefault="00F26BFD" w:rsidP="00F26B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BFD" w:rsidRPr="00855341" w:rsidRDefault="00F26BFD" w:rsidP="00F26B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BFD" w:rsidRPr="00855341" w:rsidRDefault="00F26BFD" w:rsidP="00F26B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F26BFD" w:rsidRDefault="00F26BFD" w:rsidP="00F26B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Главы и Правительства </w:t>
      </w:r>
    </w:p>
    <w:p w:rsidR="00F26BFD" w:rsidRPr="00855341" w:rsidRDefault="00F26BFD" w:rsidP="00F26B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Тлишев</w:t>
      </w:r>
      <w:proofErr w:type="spellEnd"/>
    </w:p>
    <w:p w:rsidR="00F26BFD" w:rsidRPr="00855341" w:rsidRDefault="00F26BFD" w:rsidP="00F26B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6BFD" w:rsidRDefault="00F26BFD" w:rsidP="00F26B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BFD" w:rsidRPr="00855341" w:rsidRDefault="00F26BFD" w:rsidP="00F26B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подготовлен Министерством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Карачаево-Черкесской Республики </w:t>
      </w:r>
    </w:p>
    <w:p w:rsidR="00F26BFD" w:rsidRPr="00855341" w:rsidRDefault="00F26BFD" w:rsidP="00F26BFD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BFD" w:rsidRPr="00855341" w:rsidRDefault="00F26BFD" w:rsidP="00F26BFD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F26BFD" w:rsidRPr="00877579" w:rsidRDefault="00F26BFD" w:rsidP="00F26BFD">
      <w:pPr>
        <w:tabs>
          <w:tab w:val="left" w:pos="9356"/>
        </w:tabs>
        <w:spacing w:after="0"/>
        <w:rPr>
          <w:rFonts w:ascii="Times New Roman" w:eastAsiaTheme="minorEastAsia" w:hAnsi="Times New Roman" w:cs="Times New Roman"/>
          <w:color w:val="353842"/>
          <w:sz w:val="28"/>
          <w:szCs w:val="28"/>
          <w:shd w:val="clear" w:color="auto" w:fill="F0F0F0"/>
          <w:lang w:eastAsia="ru-RU"/>
        </w:rPr>
      </w:pP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  <w:r w:rsidRPr="0085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3"/>
      <w:bookmarkEnd w:id="1"/>
    </w:p>
    <w:p w:rsidR="00F26BFD" w:rsidRDefault="00F26BFD" w:rsidP="00F2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7ECE" w:rsidRPr="00F26BFD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F26BFD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F26BFD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F26BFD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F26BFD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F26BFD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57E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E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 w:rsidRPr="00557E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6BFD" w:rsidRPr="002F12B9" w:rsidRDefault="00F26BFD" w:rsidP="00566388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BFD" w:rsidRPr="002F12B9" w:rsidRDefault="00F26BFD" w:rsidP="00F26BF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к постановлению </w:t>
      </w:r>
    </w:p>
    <w:p w:rsidR="00F26BFD" w:rsidRPr="002F12B9" w:rsidRDefault="00F26BFD" w:rsidP="00F26BF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Правительства Карачаево-Черкесской Республики </w:t>
      </w:r>
    </w:p>
    <w:p w:rsidR="00F26BFD" w:rsidRPr="002F12B9" w:rsidRDefault="00F26BFD" w:rsidP="00F26BF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_______ №____</w:t>
      </w:r>
    </w:p>
    <w:p w:rsidR="00F26BFD" w:rsidRPr="002F12B9" w:rsidRDefault="00F26BFD" w:rsidP="00557ECE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ECE" w:rsidRPr="002F12B9" w:rsidRDefault="00F26BFD" w:rsidP="00F26BFD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</w:t>
      </w:r>
      <w:r w:rsidR="00557ECE"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="00557ECE"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 постановлению Правительства</w:t>
      </w:r>
      <w:r w:rsidR="00557ECE"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Карачаево-Черкесской Республики</w:t>
      </w:r>
      <w:r w:rsidR="00557ECE"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25.06.2014 N 196</w:t>
      </w:r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B0451" w:rsidRPr="002F12B9" w:rsidRDefault="00557ECE" w:rsidP="001A4D18">
      <w:pPr>
        <w:pStyle w:val="2"/>
        <w:jc w:val="center"/>
        <w:rPr>
          <w:rFonts w:ascii="Times New Roman" w:hAnsi="Times New Roman" w:cs="Times New Roman"/>
          <w:color w:val="auto"/>
          <w:lang w:eastAsia="ru-RU"/>
        </w:rPr>
      </w:pPr>
      <w:r w:rsidRPr="002F12B9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2F12B9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1B0451" w:rsidRPr="002F12B9">
        <w:rPr>
          <w:rFonts w:ascii="Times New Roman" w:hAnsi="Times New Roman" w:cs="Times New Roman"/>
          <w:color w:val="auto"/>
          <w:lang w:eastAsia="ru-RU"/>
        </w:rPr>
        <w:t>Порядок</w:t>
      </w:r>
    </w:p>
    <w:p w:rsidR="001A4D18" w:rsidRPr="002F12B9" w:rsidRDefault="001B0451" w:rsidP="001A4D18">
      <w:pPr>
        <w:pStyle w:val="2"/>
        <w:jc w:val="center"/>
        <w:rPr>
          <w:rFonts w:ascii="Times New Roman" w:hAnsi="Times New Roman" w:cs="Times New Roman"/>
          <w:color w:val="auto"/>
          <w:lang w:eastAsia="ru-RU"/>
        </w:rPr>
      </w:pPr>
      <w:r w:rsidRPr="002F12B9">
        <w:rPr>
          <w:rFonts w:ascii="Times New Roman" w:hAnsi="Times New Roman" w:cs="Times New Roman"/>
          <w:color w:val="auto"/>
          <w:lang w:eastAsia="ru-RU"/>
        </w:rPr>
        <w:t>предоставления  субсидий из республиканского бюджета Карачаево-Черкесской Республики на развитие мелиорации земель сельскохозяйственного назначения</w:t>
      </w:r>
      <w:r w:rsidR="00AD450B" w:rsidRPr="002F12B9">
        <w:rPr>
          <w:rFonts w:ascii="Times New Roman" w:hAnsi="Times New Roman" w:cs="Times New Roman"/>
          <w:color w:val="auto"/>
          <w:shd w:val="clear" w:color="auto" w:fill="FFFFFF"/>
        </w:rPr>
        <w:t xml:space="preserve">  рамках реализации мероприятий ведомственной программы "Развитие мелиоративного комплекса России" и мероприятий в рамках федерального проекта "Экспорт продукции агропромышленного комплекса"</w:t>
      </w:r>
      <w:r w:rsidR="001A4D18" w:rsidRPr="002F12B9">
        <w:rPr>
          <w:rFonts w:ascii="Times New Roman" w:hAnsi="Times New Roman" w:cs="Times New Roman"/>
          <w:color w:val="auto"/>
          <w:shd w:val="clear" w:color="auto" w:fill="FFFFFF"/>
        </w:rPr>
        <w:t>, реализуемых на территории Карачаево-Черкесской Республики</w:t>
      </w:r>
    </w:p>
    <w:p w:rsidR="00557ECE" w:rsidRPr="002F12B9" w:rsidRDefault="00557ECE" w:rsidP="001A4D18">
      <w:pPr>
        <w:pStyle w:val="2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ECE" w:rsidRPr="002F12B9" w:rsidRDefault="00557ECE" w:rsidP="00557EC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 Общие положения</w:t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цели, порядок и условия предоставления за счет средств республиканского бюджета Карачаево-Черкесской Республики субсидий сельскохозяйственным товаропроизводителям, осуществляющим деятельность на территории Карачаево-Черкесской Республики на развитие мелиорации земель сельскохозяйственного назначения </w:t>
      </w:r>
      <w:r w:rsidR="00705BDD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ведомственной программы «Развитие мелиоративного комплекса России» (далее – ведомственная программа) и </w:t>
      </w:r>
      <w:r w:rsidR="00566388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451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705BDD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05BDD" w:rsidRPr="002F12B9">
        <w:rPr>
          <w:rFonts w:ascii="Times New Roman" w:eastAsia="Calibri" w:hAnsi="Times New Roman" w:cs="Times New Roman"/>
          <w:sz w:val="28"/>
          <w:szCs w:val="28"/>
        </w:rPr>
        <w:t xml:space="preserve">федерального проекта "Экспорт продукции агропромышленного комплекса" </w:t>
      </w:r>
      <w:proofErr w:type="gramStart"/>
      <w:r w:rsidR="00705BDD" w:rsidRPr="002F12B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705BDD" w:rsidRPr="002F12B9">
        <w:rPr>
          <w:rFonts w:ascii="Times New Roman" w:eastAsia="Calibri" w:hAnsi="Times New Roman" w:cs="Times New Roman"/>
          <w:sz w:val="28"/>
          <w:szCs w:val="28"/>
        </w:rPr>
        <w:t>далее федеральный проект), реализуемый на территории Карачаево-Черкесской Республики</w:t>
      </w:r>
      <w:r w:rsidR="001B0451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граждан, ведущих личное подсобное хозяйство, </w:t>
      </w:r>
      <w:proofErr w:type="gramStart"/>
      <w:r w:rsidR="001B0451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субсидии, получатели субсидии), источником финансового обеспечения которых являются средства республиканского бюджета и средства федерального бюджета, предоставляемые в соответствии с </w:t>
      </w:r>
      <w:hyperlink r:id="rId9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постановлением Правительства Российской Федерации от 14.07.2012 N 717 "О Государственной программе развития сельского хозяйства и регулирования </w:t>
        </w:r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рынков сельскохозяйственной продукции, сырья и продовольствия"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 </w:t>
      </w:r>
      <w:hyperlink r:id="rId10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Карачаево-Черкесской Республики от 22.01.2019 N 13 "О государственной программе "Развитие сельского хозяйства Карачаево-Черкесской Республики"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государственная программа).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(п. 1.1 в ред. </w:t>
      </w:r>
      <w:hyperlink r:id="rId11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Карачаево-Черкесской Республики от 28.05.2019 N 144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Понятия и </w:t>
      </w: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 используемые в настоящем Порядке применяются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значениях, установленных федеральным законодательством и законодательством Карачаево-Черкесской Республики.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35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05BDD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</w:t>
      </w:r>
      <w:proofErr w:type="gramStart"/>
      <w:r w:rsidR="00705BDD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35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93235" w:rsidRPr="002F12B9" w:rsidRDefault="00993235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388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05BDD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</w:t>
      </w:r>
      <w:r w:rsidR="00705BDD" w:rsidRPr="00A52B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программы</w:t>
      </w:r>
      <w:r w:rsidR="00705BDD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557ECE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аномалий, повышение продукционного потенциала мелиорируемых земель и эффективного и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спользования природных ресурсов,</w:t>
      </w:r>
    </w:p>
    <w:p w:rsidR="00557ECE" w:rsidRPr="002F12B9" w:rsidRDefault="00566388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Calibri" w:hAnsi="Times New Roman" w:cs="Times New Roman"/>
          <w:sz w:val="28"/>
          <w:szCs w:val="28"/>
        </w:rPr>
        <w:t>б)</w:t>
      </w:r>
      <w:r w:rsidR="00705BDD" w:rsidRPr="002F12B9">
        <w:rPr>
          <w:rFonts w:ascii="Times New Roman" w:eastAsia="Calibri" w:hAnsi="Times New Roman" w:cs="Times New Roman"/>
          <w:sz w:val="28"/>
          <w:szCs w:val="28"/>
        </w:rPr>
        <w:t xml:space="preserve"> в целях </w:t>
      </w:r>
      <w:r w:rsidR="00240B5A" w:rsidRPr="002F12B9">
        <w:rPr>
          <w:rFonts w:ascii="Times New Roman" w:eastAsia="Calibri" w:hAnsi="Times New Roman" w:cs="Times New Roman"/>
          <w:sz w:val="28"/>
          <w:szCs w:val="28"/>
        </w:rPr>
        <w:t>достижения  результатов федерального проекта, определенных паспортом федерального проекта в отношении Карачаево-Черкесской Республики</w:t>
      </w:r>
      <w:r w:rsidR="003A71F1" w:rsidRPr="002F12B9">
        <w:rPr>
          <w:rFonts w:ascii="Times New Roman" w:eastAsia="Calibri" w:hAnsi="Times New Roman" w:cs="Times New Roman"/>
          <w:sz w:val="28"/>
          <w:szCs w:val="28"/>
        </w:rPr>
        <w:t xml:space="preserve"> (далее - региональный проект) по обеспечению стимулирования ввода в эксплуатацию мелиорируемых земель и вовлечения в оборот выбывших сельскохозяйственных угодий для выращивания экспортно ориентированной сельскохозяйственной продукции и  создания условий для производства экспортно ориентированной продукции</w:t>
      </w:r>
      <w:proofErr w:type="gramStart"/>
      <w:r w:rsidR="003A71F1" w:rsidRPr="002F12B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Субсидии предоставляются из республиканского бюджета Карачаево-Черкесской Республики в пределах средств, предусмотренных на эти цели законом о республиканском бюджете Карачаево-Черкесской Республики на соответствующий финансовый год и плановый период, на условиях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Карачаево-Черкесской Республики и средств федерального бюджета.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Главным распорядителем бюджетных средств по предоставлению субсидии, является Министерство сельского хозяйства Карачаево-Черкесской Республики.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Сведения о субсидиях, подлежащих предоставлению в соответствии с настоящим Порядком, размещаются на едином портале бюджетной 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Российской Федерации в информационно-телекоммуникационной сети Интернет при формировании проекта закона о бюджете Карачаево-Черкесской Республики (проекта закона Карачаево-Черкесской Республики о внесении изменений в закон о бюджете Карачаево-Черкесской Республики).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1.6 </w:t>
      </w: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Карачаево-Черкесской Республики от 23.03.2021 N 41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 Условия и порядок предоставления субсидии</w:t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(раздел 2 в ред. </w:t>
      </w:r>
      <w:hyperlink r:id="rId13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Карачаево-Черкесской Республики от 21.11.2019 N 275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</w:t>
      </w:r>
      <w:r w:rsidR="00705BDD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ведомственного проекта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сельскохозяйственным товаропроизводителям на возмещение части фактически осуществленных ими расходов (без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добавленную стоимость) в размере не более 70 процентов (но не выше предельной стоимости объекта) по мероприятиям, указанным в подпунктах "а" и "б"</w:t>
      </w:r>
      <w:r w:rsidR="00705BDD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BDD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90 процентов (но не выше предельной стоимости объекта) по мероприятиям, указанным в подпунктах "в", "г" и "д".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557ECE" w:rsidRPr="002F12B9" w:rsidRDefault="00705BDD" w:rsidP="00705BD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рамках реализации федерального проекта предоставляются сельскохозяйственным товаропроизводителям на указанные расходы в первом абзаце настоящего пункта  в размере не более 70 процентов (но не выше предельной стоимости объекта) по мероприятиям, указанным в подпунктах "а" и "б" настоящего пункта.</w:t>
      </w:r>
    </w:p>
    <w:p w:rsidR="00705BDD" w:rsidRPr="002F12B9" w:rsidRDefault="00705BDD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705BD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расходов, произведенных сельскохозяйственными товаропроизводителями в текущем финансовом году и (или) отчетном финансовом году, осуществляется в текущем финансовом году, а по мероприятиям, указанным в подпункте "д" возмещение расходов, произведенных сельскохозяйственными товаропроизводителями в отчетном финансовом году, осуществляется в текущем финансовом году.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осуществляется возмещение расходов сельскохозяйственных товаропроизводителей на приобретение оборудования, машин, механизмов, 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мелиоративной техники и других основных средств, бывших в употреблении, а также на приобретение объектов незавершенного строительства, проведение капитального ремонта мелиоративных систем и отдельно расположенных гидротехнических сооружений.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в рамках следующих мероприятий: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гидромелиоративные мероприятия - 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лизинг), за исключением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связанных с проведением проектных и изыскательских работ и (или) подготовкой проектной документации в отношении указанных объектов;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культуртехнические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на выбывших сельскохозяйственных угодьях, вовлекаемых в сельскохозяйственный оборот, в том числе: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расчистка земель от древесной и травянистой растительности, кочек, пней и мха, а также от камней и иных предметов;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рыхление,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пескование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глинование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землевание, плантаж и первичная обработка почвы;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мелиорантов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понижающих кислотность почв;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агролесомелиоративные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в том числе: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земель от воздействия неблагоприятных явлений природного,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предотвращение деградации земель пастбищ путем создания защитных лесных насаждений;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земель от эрозии путем создания лесных насаждений в оврагах, балках, песках, на берегах рек и на других территориях;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фитомелиоративные мероприятия, направленные на закрепление песков;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области известкования кислых почв на пашне (далее - известкование кислых почв), в том числе: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проектной сметной документации </w:t>
      </w: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мероприятий в области известкования кислых почв по данным агрохимического обследования полей с показателями плодородия почв в системе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 земельного участка;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мелиорантов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почвы известковых для проведения работ в области известкования кислых почв, включенных в Государственный каталог пестицидов и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разрешенных к применению на территории Российской Федерации (далее -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мелиоранты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транспортных расходов по доставке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мелиорантов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места их приобретения до места проведения мероприятий в области известкования кислых почв;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технологических работ по внесению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мелиорантов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(п. 2.1 в ред. </w:t>
      </w:r>
      <w:hyperlink r:id="rId14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Карачаево-Черкесской Республики от 15.06.2020 N 134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Субсидии предоставляются в разрезе мероприятий для всех получателей в равном процентном соотношении к общей сумме расходов, указанной в справках-расчетах сельскохозяйственных товаропроизводителей, включенных в реестр получателей на предоставление субсидии.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(абзац в ред. </w:t>
      </w:r>
      <w:hyperlink r:id="rId15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Карачаево-Черкесской Республики от 15.06.2020 N 134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процента возмещения расходов осуществляется по следующей формуле: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1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4ED4BA" wp14:editId="2E43AA9B">
            <wp:extent cx="1509395" cy="276225"/>
            <wp:effectExtent l="0" t="0" r="0" b="9525"/>
            <wp:docPr id="1" name="Рисунок 1" descr="https://api.docs.cntd.ru/img/42/40/53/82/5/e9d2f306-6245-4872-b0b8-39ffd5c09856/P003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2/40/53/82/5/e9d2f306-6245-4872-b0b8-39ffd5c09856/P0032000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0C7E5" wp14:editId="7CB1646B">
            <wp:extent cx="267335" cy="224155"/>
            <wp:effectExtent l="0" t="0" r="0" b="4445"/>
            <wp:docPr id="2" name="Рисунок 2" descr="https://api.docs.cntd.ru/img/42/40/53/82/5/e9d2f306-6245-4872-b0b8-39ffd5c09856/P003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42/40/53/82/5/e9d2f306-6245-4872-b0b8-39ffd5c09856/P0034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процент возмещения расходов;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30FF99" wp14:editId="45CA8219">
            <wp:extent cx="379730" cy="250190"/>
            <wp:effectExtent l="0" t="0" r="1270" b="0"/>
            <wp:docPr id="3" name="Рисунок 3" descr="https://api.docs.cntd.ru/img/42/40/53/82/5/e9d2f306-6245-4872-b0b8-39ffd5c09856/P003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2/40/53/82/5/e9d2f306-6245-4872-b0b8-39ffd5c09856/P0035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объем средств, предусмотренных в законе Карачаево-Черкесской Республики о республиканском бюджете на соответствующий финансовый год, на мероприятия, указанные в пункте 2.1 настоящего Порядка, рублей;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EA083" wp14:editId="2ED0701F">
            <wp:extent cx="267335" cy="224155"/>
            <wp:effectExtent l="0" t="0" r="0" b="4445"/>
            <wp:docPr id="4" name="Рисунок 4" descr="https://api.docs.cntd.ru/img/42/40/53/82/5/e9d2f306-6245-4872-b0b8-39ffd5c09856/P003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42/40/53/82/5/e9d2f306-6245-4872-b0b8-39ffd5c09856/P003600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общий объем подтвержденных расходов сельскохозяйственных товаропроизводителей, включенных в реестр получателей субсидий, рублей.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субсидии осуществляется по следующей формуле: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1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30D08A" wp14:editId="25BCF163">
            <wp:extent cx="1259205" cy="224155"/>
            <wp:effectExtent l="0" t="0" r="0" b="4445"/>
            <wp:docPr id="5" name="Рисунок 5" descr="https://api.docs.cntd.ru/img/42/40/53/82/5/e9d2f306-6245-4872-b0b8-39ffd5c09856/P003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ocs.cntd.ru/img/42/40/53/82/5/e9d2f306-6245-4872-b0b8-39ffd5c09856/P0038000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0851B5" wp14:editId="6E3350F0">
            <wp:extent cx="267335" cy="224155"/>
            <wp:effectExtent l="0" t="0" r="0" b="4445"/>
            <wp:docPr id="6" name="Рисунок 6" descr="https://api.docs.cntd.ru/img/42/40/53/82/5/e9d2f306-6245-4872-b0b8-39ffd5c09856/P003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i.docs.cntd.ru/img/42/40/53/82/5/e9d2f306-6245-4872-b0b8-39ffd5c09856/P003A00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размер субсидии, рублей;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7457F7" wp14:editId="335F77D2">
            <wp:extent cx="483235" cy="224155"/>
            <wp:effectExtent l="0" t="0" r="0" b="4445"/>
            <wp:docPr id="7" name="Рисунок 7" descr="https://api.docs.cntd.ru/img/42/40/53/82/5/e9d2f306-6245-4872-b0b8-39ffd5c09856/P003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docs.cntd.ru/img/42/40/53/82/5/e9d2f306-6245-4872-b0b8-39ffd5c09856/P003B00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сумма подтвержденных расходов сельскохозяйственного товаропроизводителя включенного в реестр получателей субсидий, рублей;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733D29" wp14:editId="49FE3585">
            <wp:extent cx="267335" cy="224155"/>
            <wp:effectExtent l="0" t="0" r="0" b="4445"/>
            <wp:docPr id="8" name="Рисунок 8" descr="https://api.docs.cntd.ru/img/42/40/53/82/5/e9d2f306-6245-4872-b0b8-39ffd5c09856/P003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pi.docs.cntd.ru/img/42/40/53/82/5/e9d2f306-6245-4872-b0b8-39ffd5c09856/P003C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процент возмещения расходов.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субсидии осуществляется в пределах процентов и мероприятий, предусмотренных пунктом 2.1 настоящего Порядка, на возмещение части фактически осуществленных ими расходов.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Субсидия предоставляется на основании соглашения, заключаемого между Министерством сельского хозяйства Карачаево-Черкесской Республики (далее - Министерство, Соглашение) с получателями субсидий в государственной интеграционной информационной системе управления общественными финансами "Электронный бюджет по форме, утвержденной Министерством финансов Российской Федерации, включающего следующие обязательные условия: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в ред. </w:t>
      </w:r>
      <w:hyperlink r:id="rId23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Карачаево-Черкесской Республики от 23.03.2021 N 41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об объеме субсидии, предоставляемой получателю субсид</w:t>
      </w: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результативности;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порядок и сроки предоставления получателем субсидии бухгалтерской отчетности по итогам отчетного периода, в котором получена субсидия, и отчетности о производственных показателях;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порядок и сроки предоставления отчетности о финансово-экономическом состоянии по формам, утвержденным Министерством сельского хозяйства Российской Федерации;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обязательства получателя субсидии своевременно осуществлять исчисление и уплату налогов, неналоговых платежей и заработной платы;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согласие на проведение Министерством и уполномоченным органом государственного финансового контроля обязательных проверок соблюдения получателями субсидий условий и порядка их предоставления;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обязательство получателя субсидий по возврату предоставленных средств, в случае установления по итогам проверок, проведенных Министерством, а также уполномоченным органом финансового контроля, факта нарушения условий, определенных настоящим Порядком;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5BDD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ж) обязательство получателя  субсидий в рамках реализации </w:t>
      </w:r>
      <w:r w:rsidR="00705BDD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регионального проекта осуществлять экспорт продукции агропромышленного комплекса за счет создания новой товарной массы на введенных в эксплуатацию мелиорируемых землях сельскохозяйственного назначения и вовлеченных в оборот сельскохозяйственных угодьях   </w:t>
      </w:r>
      <w:r w:rsidR="00152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году</w:t>
      </w:r>
      <w:r w:rsidR="002F12B9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за годом получения субсиди;</w:t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705BDD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57ECE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ответственность сторон за нарушение условий Соглашения;</w:t>
      </w:r>
      <w:r w:rsidR="00557ECE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705BDD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7ECE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требование, согласно которому,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согласовываются новые условия предоставления субсидии, либо соглашение расторгается при </w:t>
      </w:r>
      <w:proofErr w:type="spellStart"/>
      <w:r w:rsidR="00557ECE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="00557ECE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условиям.</w:t>
      </w:r>
      <w:r w:rsidR="00557ECE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705BDD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"и</w:t>
      </w:r>
      <w:r w:rsidR="00557ECE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" введен </w:t>
      </w:r>
      <w:hyperlink r:id="rId24" w:history="1">
        <w:r w:rsidR="00557ECE"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Карачаево-Черкесской Республики от 23.03.2021 N 41</w:t>
        </w:r>
      </w:hyperlink>
      <w:r w:rsidR="00557ECE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7ECE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Субсидии предоставляются сельскохозяйственным товаропроизводителям при условии их соответствия на дату подачи документов для получения субсидии, следующим требованиям: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направлениям, указанным в подпункте "а" пункта 2.1 настоящего Порядка, - наличие сельскохозяйственных земель, планируемых к вводу в эксплуатацию за счет строительства мелиоративных систем и гидротехнических сооружений;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направлениям, указанным в подпункте "б" пункта 2.1 настоящего Порядка, - наличие сельскохозяйственных земель, планируемых к вводу в эксплуатацию за счет проведения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культуртехнических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направлениям, указанным в подпункте "в" пункта 2.1 настоящего Порядка, - наличие сельскохозяйственных земель, подверженных ветровой эрозии и опустыниванию и планируемых к защите путем проведения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агролесомелиоративных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направлениям, указанным в подпункте "г" пункта 2.1 настоящего Порядка, - наличие сельскохозяйственных земель, подверженных ветровой эрозии и опустыниванию и планируемых к защите путем проведения фитомелиоративных мероприятий;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 направлениям, указанным в подпункте "д" пункта 2.1 настоящего Порядка, - предоставление сельскохозяйственным товаропроизводителем в Министерство акта выполненных работ по результатам проведения мероприятий, указанных в подпункте "д", в отчетном финансовом году.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 сельскохозяйственного товаропроизводителя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сельскохозяйственные товаропроизводители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сельскохозяйственный товаропроизводитель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отношении таких юридических лиц, в совокупности превышает 50 процентов;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сельскохозяйственный товаропроизводитель не должен получать средства из республиканского бюджета Карачаево-Черкесской Республики, из которого планируется предоставление субсидии в соответствии с правовым актом, на основании иных нормативных правовых актов на цели, указанные в пункте 2.1 настоящего Порядка.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(п. 2.4 в ред. </w:t>
      </w:r>
      <w:hyperlink r:id="rId25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Карачаево-Черкесской Республики от 15.06.2020 N 134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Для получения субсидий сельскохозяйственные товаропроизводители представляют в Министерство следующие документы: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на предоставление субсидии с указанием потребности в субсидии и направления государственной поддержки, по форме, согласно приложению 1 к настоящему Порядку;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сельскохозяйственным товаропроизводителем копию проектно-сметной документации, выполненной организациями, имеющими свидетельство о допуске к видам проектных работ, задействованных в области мелиорации, с положительным заключением экспертизы в соответствии со статьями 48 и 49 </w:t>
      </w:r>
      <w:hyperlink r:id="rId26" w:anchor="64U0IK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отсутствии необходимости проведения экспертизы проектной документации предоставляется копия положительного заключения о проведении достоверности определения сметной стоимости), с приложением копий документов, подтверждающих право собственности (пользования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земельный участок и (или) гидротехнические сооружения;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в том числе платежных документов, подтверждающих осуществление в текущем либо предыдущем году расходов в рамках мероприятий, указанных в пункте 2.1 настоящего Порядка;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справку-расчет размера субсидии по форме, согласно приложению 2 к настоящему Порядку.</w:t>
      </w:r>
    </w:p>
    <w:p w:rsidR="00705BDD" w:rsidRPr="002F12B9" w:rsidRDefault="00705BDD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BDD" w:rsidRPr="002F12B9" w:rsidRDefault="00705BDD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Расходы, произведенные сельскохозяйственными товаропроизводителями в иностранной валюте, подлежат субсидированию исходя из курса рубля к иностранной валюте, установленного Центральным банком Российской Федерации на дату оплаты товаров, работ, услуг.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копию выписки из Единого государственного реестра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или из Единого государственного реестра индивидуальных предпринимателей.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Документы предоставляются сельскохозяйственными товаропроизводителями в Министерство в прошитом, пронумерованном и скрепленном печатью (при наличии у сельскохозяйственного 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товаропроизводителя печати) виде.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дате, времени и месте приема документов публикуется на официальном сайте Министерства в информационно-телекоммуникационной сети Интернет в разделе "Информация для сельскохозяйственных товаропроизводителей" за пять календарных дней до начала приема документов. Документы принимаются в течение 15 рабочих дней".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подачи пакета документов на регистрацию сельскохозяйственный товаропроизводитель вправе обратиться в Министерство на предмет проверки его полноты в соответствии с перечнем, указанным в пункте 2.5 настоящего Порядка.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введен </w:t>
      </w:r>
      <w:hyperlink r:id="rId27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Карачаево-Черкесской Республики от 15.06.2020 N 134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Документы принимаются и регистрируются государственным гражданским служащим Министерства (далее - служащий), ответственным за осуществление приема и регистрации входящей и исходящей корреспонденции Министерства.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(п. 2.8.1 в ред. </w:t>
      </w:r>
      <w:hyperlink r:id="rId28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Карачаево-Черкесской Республики от 15.06.2020 N 134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гражданскими служащими Министерства в течение 10 рабочих дней со дня окончания приема документов проверяются представленные сельскохозяйственными товаропроизводителями документы в соответствии с пунктом 2.5 раздела 2 настоящего Порядка, и полученные в порядке межведомственного информационного взаимодействия документы и сведения на их соответствие условиям и требованиям, установленным настоящим Порядком, и передаются в комиссию, созданную для рассмотрения документов с привлечением специалистов или экспертов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сферах деятельности. Состав и положение о комиссии утверждается приказом Министерства. В течение 2 дней, со дня рассмотрения вышеуказанных документов, комиссия принимает решение, не носящее обязательный характер и оформляющееся протоколом.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в ред. </w:t>
      </w:r>
      <w:hyperlink r:id="rId29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Карачаево-Черкесской Республики от 15.06.2020 N 134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вместе с протоколом передаются комиссией Министру сельского хозяйства Карачаево-Черкесской Республики или лицу, исполняющему его обязанности для принятия, в течение 2 дней, решения о предоставлении или об отказе в предоставлении субсидии.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2.8.3. Основанием для отказа в предоставлении субсидии являются: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лимитов бюджетных обязательств, предусмотренных Министерством на указанные цели на соответствующий финансовый год;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документов, указанных в пункте 2.5 не в полном объеме и (или) выявление в них недостоверных сведений;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во включении в реестр получателей субсидий, Министерство направляет заявителю уведомление об отказе в получении субсидии с указанием причин отказа, в течение 30 календарных дней со дня принятия решения заказным письмом с уведомлением о вручении либо лично заявителю.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2.8.4. Министерство по результатам рассмотрения документов и принятия решения о предоставлении субсидии, формирует сводный реестр получателей субсидий с указанием размеров субсидий, рассчитанных в соответствии с пунктом 2.2 настоящего Порядка, в разрезе получателей и представляет его в Министерство финансов Карачаево-Черкесской Республики.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2.8.5. Министерство составляет заявки на предоставление объемов финансирования и реестр 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разассигнований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получателей субсидий и представляет их в Министерство финансов Карачаево-Черкесской Республики, в соответствии с утвержденным кассовым планом на текущий месяц для исполнения республиканского бюджета Карачаево-Черкесской Республики.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2.8.6. Министерство в срок не более 5 рабочих дней </w:t>
      </w: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расчетные счета, открытые получателям субсидий в учреждениях Центрального банка Российской Федерации или кредитных организациях.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. 2.8.6 в ред. </w:t>
      </w:r>
      <w:hyperlink r:id="rId30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Карачаево-Черкесской Республики от 23.03.2021 N 41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2.8.7. Перечисление средств получателям субсидий осуществляется в течение 10 рабочих дней </w:t>
      </w: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субсидий.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2.8.8. Ответственность за достоверность сведений, содержащихся в документах, предоставленных сельскохозяйственными товаропроизводителями для получения субсидий, несут сельскохозяйственные товаропроизводители.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2.8.9. В случаях выявления в представленных документах недостоверных сведений Министерство, в соответствии с действующим законодательством, обращается в правоохранительные органы.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33D9" w:rsidRPr="002F12B9" w:rsidRDefault="00426312" w:rsidP="000033D9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0033D9"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</w:t>
      </w:r>
      <w:r w:rsidR="000033D9" w:rsidRPr="002F12B9">
        <w:rPr>
          <w:rFonts w:ascii="Times New Roman" w:hAnsi="Times New Roman" w:cs="Times New Roman"/>
        </w:rPr>
        <w:t xml:space="preserve"> </w:t>
      </w:r>
      <w:r w:rsidR="000033D9"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</w:t>
      </w:r>
      <w:r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</w:t>
      </w:r>
      <w:r w:rsidR="000033D9"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</w:t>
      </w:r>
      <w:r w:rsidR="00705BDD"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ведомственного проекта </w:t>
      </w:r>
      <w:r w:rsidR="000033D9"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</w:t>
      </w:r>
      <w:r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итогам отчетного года</w:t>
      </w:r>
      <w:r w:rsidR="000033D9"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033D9" w:rsidRPr="002F12B9" w:rsidRDefault="000033D9" w:rsidP="000033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300201"/>
      <w:r w:rsidRPr="002F12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площадь мелиорируемых земель, введенных в эксплуатацию за счет реконструкции, технического перевооружения и строительства новых мелиоративных систем общего и индивидуального пользования;</w:t>
      </w:r>
    </w:p>
    <w:p w:rsidR="000033D9" w:rsidRPr="002F12B9" w:rsidRDefault="000033D9" w:rsidP="000033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300202"/>
      <w:bookmarkEnd w:id="2"/>
      <w:r w:rsidRPr="002F12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вовлечение в оборот выбывших сельскохозяйственных угодий за счет проведения </w:t>
      </w:r>
      <w:proofErr w:type="spellStart"/>
      <w:r w:rsidRPr="002F12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культуртехнических</w:t>
      </w:r>
      <w:proofErr w:type="spellEnd"/>
      <w:r w:rsidRPr="002F12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мероприятий;</w:t>
      </w:r>
    </w:p>
    <w:p w:rsidR="000033D9" w:rsidRPr="002F12B9" w:rsidRDefault="000033D9" w:rsidP="000033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300203"/>
      <w:bookmarkEnd w:id="3"/>
      <w:r w:rsidRPr="002F12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защита и сохранение сельскохозяйственных угодий от ветровой эрозии и опустынивания за счет проведения </w:t>
      </w:r>
      <w:proofErr w:type="spellStart"/>
      <w:r w:rsidRPr="002F12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агролесомелиоративных</w:t>
      </w:r>
      <w:proofErr w:type="spellEnd"/>
      <w:r w:rsidRPr="002F12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(площадь посадок), а также за счет проведения фитомелиоративных мероприятий (площадь посадок);</w:t>
      </w:r>
    </w:p>
    <w:p w:rsidR="000033D9" w:rsidRPr="002F12B9" w:rsidRDefault="000033D9" w:rsidP="000033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300204"/>
      <w:bookmarkEnd w:id="4"/>
      <w:r w:rsidRPr="002F12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площадь пашни, на которой реализованы мероприятия в области известкования кислых почв (тыс. гектаров);</w:t>
      </w:r>
    </w:p>
    <w:p w:rsidR="000033D9" w:rsidRPr="002F12B9" w:rsidRDefault="000033D9" w:rsidP="000033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300205"/>
      <w:bookmarkEnd w:id="5"/>
      <w:proofErr w:type="gramStart"/>
      <w:r w:rsidRPr="002F12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прирост объема производства продукции растениеводства, произведенной на посевных площадях, по результатам года, следующего за годом проведения работ по известкованию кислых почв, на которых реализованы мероприятия в области известкования кислых почв, к среднему объему производства продукции растениеводства, произведенной на данных посевных площадях за 3 года, предшествующие году предоставления субсидии, в перерасчете на зерновые единицы (тыс. тонн).</w:t>
      </w:r>
      <w:proofErr w:type="gramEnd"/>
    </w:p>
    <w:p w:rsidR="00426312" w:rsidRPr="002F12B9" w:rsidRDefault="00426312" w:rsidP="00426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30021"/>
      <w:bookmarkEnd w:id="6"/>
      <w:r w:rsidRPr="002F1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2.9.1</w:t>
      </w:r>
      <w:r w:rsidR="000033D9" w:rsidRPr="002F1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F1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использования субсидии в рамках реализации </w:t>
      </w:r>
      <w:r w:rsidR="00705BDD" w:rsidRPr="002F12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регионального </w:t>
      </w:r>
      <w:r w:rsidRPr="002F1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проекта является:</w:t>
      </w:r>
      <w:bookmarkEnd w:id="7"/>
    </w:p>
    <w:p w:rsidR="00705BDD" w:rsidRPr="002F12B9" w:rsidRDefault="000033D9" w:rsidP="00426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площадь введенных в эксплуатацию мелиорируемых земель для выращивания экспортно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 в </w:t>
      </w:r>
      <w:r w:rsidR="00705BDD"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текущем финансовом году.</w:t>
      </w:r>
      <w:r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5BDD" w:rsidRPr="002F12B9" w:rsidRDefault="00705BDD" w:rsidP="00426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BDD" w:rsidRPr="002F12B9" w:rsidRDefault="00705BDD" w:rsidP="00426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Значения результатов использования субсидий устанавливаются Министерством в соглашении.</w:t>
      </w:r>
    </w:p>
    <w:p w:rsidR="00705BDD" w:rsidRPr="002F12B9" w:rsidRDefault="00705BDD" w:rsidP="00426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BDD" w:rsidRPr="002F12B9" w:rsidRDefault="00705BDD" w:rsidP="00705BDD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Показателем, необходимым для достижения результата предоставления субсидии, является:</w:t>
      </w:r>
    </w:p>
    <w:p w:rsidR="00705BDD" w:rsidRPr="002F12B9" w:rsidRDefault="00705BDD" w:rsidP="00705B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экспорта продукции агропромышленного комплекса (в натуральном выражении) за счет создания новой товарной массы, полученной на землях сельскохозяйственного назначения, введенных в эксплуатацию мелиорируемых земель и вовлеченных в оборот сельскохозяйственных угодий, в году, следующем за годом предоставления субсидии</w:t>
      </w:r>
    </w:p>
    <w:p w:rsidR="00557ECE" w:rsidRPr="002F12B9" w:rsidRDefault="00557ECE" w:rsidP="000033D9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F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отчетности</w:t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 представляют в Министерство отчетность о финансово-экономическом состоянии сельскохозяйственного товаропроизводителя за отчетный финансовый год в срок до 1 марта года, следующего за отчетным годом, по соответствующей статусу сельскохозяйственного товаропроизводителя форме, утвержденной Министерством сельского хозяйства Российской Федерации на соответствующий финансовый год, и размещенной на официальном сайте Министерства в информационно-телекоммуникационной сети Интернет, и отчетности о производственных показателях, а также в соответствии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соглашением о предоставлении субсидии, заключенном в соответствии с пунктом 2.3 настоящего Порядка.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П</w:t>
      </w:r>
      <w:r w:rsidR="00D1047D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олучатели субсидий в рамках реализации регионального проекта по достижению целей и результатов федерального проекта помимо отчетности указанной в пункте 3.1 настоящего Порядка,  предоставляют:</w:t>
      </w:r>
    </w:p>
    <w:p w:rsidR="00D1047D" w:rsidRPr="002F12B9" w:rsidRDefault="00705BDD" w:rsidP="005663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047D"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документы, подтверждающие объем экспорта продукции агропромышленного комплекса (в натуральном выражении) за счет создания новой товарной массы, полученной на землях сельскохозяйственного назначения, введенных в эксплуатацию мелиорируемых земель и вовлеченных в оборот сельскохозяйственных угодий, в году, следующем за годом предоставления субсидии до 31 декабря (далее - продукция агропромышленного комплекса):</w:t>
      </w:r>
    </w:p>
    <w:p w:rsidR="00D1047D" w:rsidRPr="002F12B9" w:rsidRDefault="00D1047D" w:rsidP="005663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05BDD"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договор поставки продукции агропромышленного комплекса между заявителем и экспортером </w:t>
      </w:r>
      <w:proofErr w:type="gramStart"/>
      <w:r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 </w:t>
      </w:r>
      <w:proofErr w:type="gramEnd"/>
      <w:r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</w:t>
      </w:r>
      <w:r w:rsidR="003A71F1"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посредником реализующим </w:t>
      </w:r>
      <w:r w:rsidR="00705BDD"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приобретенную у заявителя </w:t>
      </w:r>
      <w:r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продукцию </w:t>
      </w:r>
      <w:r w:rsidR="00705BDD"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экспорт</w:t>
      </w:r>
      <w:r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включающий обязательное условие реализации продукции агропромышленного комплекса на экспорт в году, следующем за годом предоставления субсидии (далее - договор), подтверждаемый товарной накладной;</w:t>
      </w:r>
    </w:p>
    <w:p w:rsidR="00D1047D" w:rsidRPr="002F12B9" w:rsidRDefault="00D1047D" w:rsidP="005663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товарно-транспортная накладная, подтверждающая отгрузку продукции агропромышленного комплекса по договору;</w:t>
      </w:r>
    </w:p>
    <w:p w:rsidR="00D1047D" w:rsidRPr="002F12B9" w:rsidRDefault="00D1047D" w:rsidP="0056638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72408"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отчет о достижении результата предоставления субсидии</w:t>
      </w:r>
      <w:r w:rsidR="00E3260D"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</w:t>
      </w:r>
      <w:r w:rsidR="00705BDD"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</w:t>
      </w:r>
      <w:r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января года, следующего за годом предоставления субсидии, по форме согласно приложению 3  к настоящему порядку.</w:t>
      </w:r>
    </w:p>
    <w:p w:rsidR="00557ECE" w:rsidRPr="002F12B9" w:rsidRDefault="00D1047D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1047D" w:rsidRPr="002F12B9" w:rsidRDefault="00D1047D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(п. 3.1 в ред. </w:t>
      </w:r>
      <w:hyperlink r:id="rId31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Карачаево-Черкесской Республики от 15.06.2020 N 134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4. Осуществление </w:t>
      </w:r>
      <w:proofErr w:type="gramStart"/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получателем субсидии условий Соглашения, заключенного в соответствии с пунктом 2.3 настоящего Порядка осуществляется Министерством и уполномоченным органом финансового контроля.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Субсидия подлежит возврату в доход республиканского бюджета в случаях: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условий предоставления субсидий;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предоставления ложных сведений в целях получения субсидии.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Министерство в 10-дневный срок после подписания акта проверки или получения акта проверки от уполномоченного органа государственной власти, осуществляющего государственный финансовый контроль, направляет получателю субсидии требование о возврате субсидии;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получатель субсидии производит возврат субсидии в объеме выявленных нарушений в течение 30 календарных дней со дня получения от Министерства требования о возврате субсидии;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получателем субсидии срока возврата субсидии, Министерство в течение 30 календарных дней принимает меры по взысканию указанных сре</w:t>
      </w:r>
      <w:proofErr w:type="gramStart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д</w:t>
      </w:r>
      <w:proofErr w:type="gramEnd"/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 республиканского бюджета Карачаево-Черкесской Республики в соответствии с законодательством Российской Федерации.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557ECE" w:rsidP="0056638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(п. 4.3 в ред. </w:t>
      </w:r>
      <w:hyperlink r:id="rId32" w:history="1">
        <w:r w:rsidRPr="002F12B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Правительства Карачаево-Черкесской Республики от 21.11.2019 N 275</w:t>
        </w:r>
      </w:hyperlink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7ECE" w:rsidRPr="002F12B9" w:rsidRDefault="00557ECE" w:rsidP="005663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CE" w:rsidRPr="002F12B9" w:rsidRDefault="00EC3547" w:rsidP="00EC354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557ECE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несет ответственность за осуществление расходов республиканского бюджета Карачаево-Черкесской Республики, направляемых на выплату субсидий, в соответствии</w:t>
      </w:r>
      <w:r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законодательством Российской </w:t>
      </w:r>
      <w:r w:rsidR="00557ECE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557ECE" w:rsidRPr="002F12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2408" w:rsidRPr="002F12B9" w:rsidRDefault="00557ECE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F1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74536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Главы и Правительства Карачаево-Черкесской Республики,</w:t>
      </w: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A52B08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4536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A52B08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4536">
        <w:rPr>
          <w:rFonts w:ascii="Times New Roman" w:hAnsi="Times New Roman" w:cs="Times New Roman"/>
          <w:sz w:val="28"/>
          <w:szCs w:val="28"/>
        </w:rPr>
        <w:t xml:space="preserve">       А.А.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A52B08" w:rsidRDefault="00A52B08" w:rsidP="00A52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408" w:rsidRPr="002F12B9" w:rsidRDefault="00C72408" w:rsidP="00A52B08">
      <w:pPr>
        <w:tabs>
          <w:tab w:val="left" w:pos="272"/>
        </w:tabs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547" w:rsidRPr="002F12B9" w:rsidRDefault="00EC3547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547" w:rsidRPr="002F12B9" w:rsidRDefault="00EC3547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547" w:rsidRPr="002F12B9" w:rsidRDefault="00EC3547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547" w:rsidRPr="002F12B9" w:rsidRDefault="00EC3547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547" w:rsidRPr="002F12B9" w:rsidRDefault="00EC3547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547" w:rsidRPr="002F12B9" w:rsidRDefault="00EC3547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547" w:rsidRPr="002F12B9" w:rsidRDefault="00EC3547" w:rsidP="00A52B08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408" w:rsidRPr="002F12B9" w:rsidRDefault="00557ECE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  <w:r w:rsidRPr="002F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</w:p>
    <w:p w:rsidR="00557ECE" w:rsidRPr="002F12B9" w:rsidRDefault="00C72408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557ECE" w:rsidRPr="002F12B9" w:rsidRDefault="00557ECE" w:rsidP="00557E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Министру сельского хозяйства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Карачаево-Черкесской Республики</w:t>
      </w:r>
    </w:p>
    <w:p w:rsidR="00557ECE" w:rsidRPr="002F12B9" w:rsidRDefault="00557ECE" w:rsidP="00557EC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F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ЗАЯВЛЕНИЕ</w:t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_____________________________________________________________________</w:t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</w:t>
      </w:r>
      <w:proofErr w:type="gramStart"/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(полное наименование получателя, как зарегистрировано в банковской </w:t>
      </w:r>
      <w:proofErr w:type="gramEnd"/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организации)</w:t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Вас принять пакет документов для выплаты субсидии </w:t>
      </w:r>
      <w:proofErr w:type="gramStart"/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/С _________________________________________________________________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_______________________________________________________________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получателя ____________________________________________________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достоверность информации несу личную ответственность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    ____________________ ____________________________________________</w:t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(подпись)                 (расшифровка подписи)</w:t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20___ г.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2408" w:rsidRPr="002F12B9" w:rsidRDefault="00C72408" w:rsidP="00C72408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B08" w:rsidRDefault="00A52B08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B08" w:rsidRPr="00B30C80" w:rsidRDefault="00A52B08" w:rsidP="00A52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30C80">
        <w:rPr>
          <w:rFonts w:ascii="Times New Roman" w:eastAsia="Calibri" w:hAnsi="Times New Roman" w:cs="Times New Roman"/>
          <w:sz w:val="28"/>
          <w:szCs w:val="28"/>
        </w:rPr>
        <w:t xml:space="preserve">М.П. (при наличии)          </w:t>
      </w:r>
    </w:p>
    <w:p w:rsidR="00A52B08" w:rsidRDefault="00A52B08" w:rsidP="00A52B08">
      <w:pPr>
        <w:tabs>
          <w:tab w:val="left" w:pos="1089"/>
        </w:tabs>
        <w:rPr>
          <w:rFonts w:ascii="Times New Roman" w:hAnsi="Times New Roman" w:cs="Times New Roman"/>
          <w:sz w:val="28"/>
          <w:szCs w:val="28"/>
        </w:rPr>
      </w:pPr>
    </w:p>
    <w:p w:rsidR="00A52B08" w:rsidRPr="00B30C80" w:rsidRDefault="00A52B08" w:rsidP="00A52B08">
      <w:pPr>
        <w:rPr>
          <w:rFonts w:ascii="Times New Roman" w:hAnsi="Times New Roman" w:cs="Times New Roman"/>
          <w:sz w:val="28"/>
          <w:szCs w:val="28"/>
        </w:rPr>
      </w:pP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Главы и Правительства Карачаево-Черкесской Республики,</w:t>
      </w: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A52B08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4536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A52B08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4536">
        <w:rPr>
          <w:rFonts w:ascii="Times New Roman" w:hAnsi="Times New Roman" w:cs="Times New Roman"/>
          <w:sz w:val="28"/>
          <w:szCs w:val="28"/>
        </w:rPr>
        <w:t xml:space="preserve">       А.А.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A52B08" w:rsidRDefault="00A52B08" w:rsidP="00A52B08">
      <w:pPr>
        <w:tabs>
          <w:tab w:val="left" w:pos="340"/>
        </w:tabs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B08" w:rsidRDefault="00A52B08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B08" w:rsidRDefault="00A52B08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B08" w:rsidRDefault="00A52B08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B08" w:rsidRDefault="00A52B08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B08" w:rsidRDefault="00A52B08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B08" w:rsidRDefault="00A52B08" w:rsidP="00557ECE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ECE" w:rsidRPr="002F12B9" w:rsidRDefault="00557ECE" w:rsidP="00A52B08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  <w:r w:rsidRPr="002F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</w:p>
    <w:p w:rsidR="00557ECE" w:rsidRPr="002F12B9" w:rsidRDefault="00C72408" w:rsidP="00C72408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="00557ECE" w:rsidRPr="002F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57ECE" w:rsidRPr="002F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СПРАВКА-РАСЧЕТ РАЗМЕРОВ </w:t>
      </w:r>
      <w:proofErr w:type="gramStart"/>
      <w:r w:rsidR="00557ECE" w:rsidRPr="002F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</w:t>
      </w:r>
      <w:proofErr w:type="gramEnd"/>
      <w:r w:rsidR="00557ECE" w:rsidRPr="002F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ВОЗМЕЩЕНИЕ ЧАСТИ ФАКТИЧЕСКИ ОСУЩЕСТВЛЕННЫХ РАСХОДОВ ПО МЕРОПРИЯТИЯМ НА РАЗВИТИЕ МЕЛИОРАЦИИ ЗЕМЕЛЬ</w:t>
      </w:r>
    </w:p>
    <w:p w:rsidR="00557ECE" w:rsidRPr="002F12B9" w:rsidRDefault="00557ECE" w:rsidP="00557E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 </w:t>
      </w:r>
      <w:hyperlink r:id="rId33" w:history="1">
        <w:r w:rsidRPr="002F12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Постановлений Правительства Карачаево-Черкесской Республики от 28.05.2019 N 144</w:t>
        </w:r>
      </w:hyperlink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history="1">
        <w:r w:rsidRPr="002F12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21.11.2019 N 275</w:t>
        </w:r>
      </w:hyperlink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</w: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 ____________________________________________________________________</w:t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(получатель субсидии)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126"/>
        <w:gridCol w:w="1451"/>
        <w:gridCol w:w="1226"/>
        <w:gridCol w:w="1522"/>
        <w:gridCol w:w="1226"/>
        <w:gridCol w:w="1522"/>
      </w:tblGrid>
      <w:tr w:rsidR="002F12B9" w:rsidRPr="002F12B9" w:rsidTr="00557ECE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2B9" w:rsidRPr="002F12B9" w:rsidTr="00557ECE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  <w:proofErr w:type="gramStart"/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расходов, подтвержденный проектно-сметной документацией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_____% от фактических расходов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 к перечислению (рублей) &lt;*&gt;</w:t>
            </w:r>
          </w:p>
        </w:tc>
      </w:tr>
      <w:tr w:rsidR="002F12B9" w:rsidRPr="002F12B9" w:rsidTr="00557EC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республиканского бюджета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республиканского бюджета</w:t>
            </w:r>
          </w:p>
        </w:tc>
      </w:tr>
      <w:tr w:rsidR="002F12B9" w:rsidRPr="002F12B9" w:rsidTr="00557ECE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57ECE" w:rsidRPr="002F12B9" w:rsidTr="00557ECE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CE" w:rsidRPr="002F12B9" w:rsidRDefault="00557ECE" w:rsidP="0055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Министерством сельского хозяйства Карачаево-Черкесской Республики.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            Руководитель                   </w:t>
      </w:r>
      <w:r w:rsidR="00A52B0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</w:t>
      </w: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Главный бухгалтер </w:t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организации - получателя </w:t>
      </w:r>
      <w:r w:rsidR="00A52B0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субсидий  </w:t>
      </w:r>
      <w:r w:rsidR="00A52B0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</w:t>
      </w: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организации - получателя субсидии </w:t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_____________ __________________   ____________ _____________________</w:t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(подпись)        (ФИО)          </w:t>
      </w:r>
      <w:r w:rsidR="00A52B0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</w:t>
      </w:r>
      <w:r w:rsidRPr="002F12B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(подпись)           (ФИО)</w:t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="00A5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C724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Pr="002F12B9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"______" _____________ 20____ г. Исполнитель ____________ тел. 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ECE" w:rsidRPr="002F12B9" w:rsidRDefault="00557ECE" w:rsidP="00557E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ECE" w:rsidRDefault="00557ECE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 справке-расчету прикладываются: проектно-сметная документация, копии документов, подтверждающих право собственности (право пользования) земельным участком и (или) гидротехническим сооружением, в том числе копии платежных документов, подтверждающих осуществление в текущем и (или) предыдущем финансовом году расходов.</w:t>
      </w:r>
      <w:proofErr w:type="gramEnd"/>
    </w:p>
    <w:p w:rsidR="00A52B08" w:rsidRPr="002F12B9" w:rsidRDefault="00A52B08" w:rsidP="00557EC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08" w:rsidRPr="00B30C80" w:rsidRDefault="00A52B08" w:rsidP="00A52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0C80">
        <w:rPr>
          <w:rFonts w:ascii="Times New Roman" w:eastAsia="Calibri" w:hAnsi="Times New Roman" w:cs="Times New Roman"/>
          <w:sz w:val="28"/>
          <w:szCs w:val="28"/>
        </w:rPr>
        <w:t xml:space="preserve">М.П. (при наличии)          </w:t>
      </w:r>
    </w:p>
    <w:p w:rsidR="00A52B08" w:rsidRDefault="00A52B08" w:rsidP="00A52B08">
      <w:pPr>
        <w:tabs>
          <w:tab w:val="left" w:pos="1089"/>
        </w:tabs>
        <w:rPr>
          <w:rFonts w:ascii="Times New Roman" w:hAnsi="Times New Roman" w:cs="Times New Roman"/>
          <w:sz w:val="28"/>
          <w:szCs w:val="28"/>
        </w:rPr>
      </w:pPr>
    </w:p>
    <w:p w:rsidR="00A52B08" w:rsidRPr="00B30C80" w:rsidRDefault="00A52B08" w:rsidP="00A52B08">
      <w:pPr>
        <w:rPr>
          <w:rFonts w:ascii="Times New Roman" w:hAnsi="Times New Roman" w:cs="Times New Roman"/>
          <w:sz w:val="28"/>
          <w:szCs w:val="28"/>
        </w:rPr>
      </w:pP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Главы и Правительства Карачаево-Черкесской Республики,</w:t>
      </w: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A52B08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4536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A52B08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4536">
        <w:rPr>
          <w:rFonts w:ascii="Times New Roman" w:hAnsi="Times New Roman" w:cs="Times New Roman"/>
          <w:sz w:val="28"/>
          <w:szCs w:val="28"/>
        </w:rPr>
        <w:t xml:space="preserve">       А.А.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C72408" w:rsidRPr="002F12B9" w:rsidRDefault="00C72408">
      <w:pPr>
        <w:rPr>
          <w:rFonts w:ascii="Times New Roman" w:hAnsi="Times New Roman" w:cs="Times New Roman"/>
          <w:sz w:val="24"/>
          <w:szCs w:val="24"/>
        </w:rPr>
      </w:pPr>
    </w:p>
    <w:p w:rsidR="00C72408" w:rsidRPr="002F12B9" w:rsidRDefault="00C72408" w:rsidP="00C72408">
      <w:pPr>
        <w:rPr>
          <w:rFonts w:ascii="Times New Roman" w:hAnsi="Times New Roman" w:cs="Times New Roman"/>
          <w:sz w:val="24"/>
          <w:szCs w:val="24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52B08" w:rsidRDefault="00A52B08" w:rsidP="00C72408">
      <w:pPr>
        <w:shd w:val="clear" w:color="auto" w:fill="FFFFFF"/>
        <w:tabs>
          <w:tab w:val="left" w:pos="8178"/>
        </w:tabs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9315A" w:rsidRPr="002F12B9" w:rsidRDefault="0099315A" w:rsidP="0099315A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  <w:bookmarkStart w:id="8" w:name="_GoBack"/>
      <w:bookmarkEnd w:id="8"/>
      <w:r w:rsidRPr="002F1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</w:t>
      </w:r>
    </w:p>
    <w:p w:rsidR="00C72408" w:rsidRPr="002F12B9" w:rsidRDefault="00C72408" w:rsidP="00C7240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</w:p>
    <w:p w:rsidR="00C72408" w:rsidRPr="00A52B08" w:rsidRDefault="00A52B08" w:rsidP="00C7240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A52B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Форма</w:t>
      </w:r>
    </w:p>
    <w:p w:rsidR="00C72408" w:rsidRPr="002F12B9" w:rsidRDefault="00C72408" w:rsidP="00C7240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F12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ОТЧЕТ</w:t>
      </w:r>
    </w:p>
    <w:p w:rsidR="00C72408" w:rsidRPr="002F12B9" w:rsidRDefault="00C72408" w:rsidP="00C7240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 достижении целевого показателя результата предоставления</w:t>
      </w:r>
    </w:p>
    <w:p w:rsidR="00C72408" w:rsidRPr="002F12B9" w:rsidRDefault="00C72408" w:rsidP="00C7240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субсидии и показателя, необходимого для достижения</w:t>
      </w:r>
    </w:p>
    <w:p w:rsidR="00C72408" w:rsidRPr="002F12B9" w:rsidRDefault="00C72408" w:rsidP="00C7240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результата предоставления субсидии, </w:t>
      </w:r>
      <w:proofErr w:type="gramStart"/>
      <w:r w:rsidRPr="002F12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сельскохозяйственным</w:t>
      </w:r>
      <w:proofErr w:type="gramEnd"/>
    </w:p>
    <w:p w:rsidR="00C72408" w:rsidRPr="002F12B9" w:rsidRDefault="00C72408" w:rsidP="00C7240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товаропроизводителям на возмещение части затрат</w:t>
      </w:r>
    </w:p>
    <w:p w:rsidR="00C72408" w:rsidRPr="002F12B9" w:rsidRDefault="00C72408" w:rsidP="00C7240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на реализацию мероприятий в области мелиорации земель</w:t>
      </w:r>
    </w:p>
    <w:p w:rsidR="001951B7" w:rsidRPr="002F12B9" w:rsidRDefault="00C72408" w:rsidP="00C7240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сельскохозяйственного назначения в рамках </w:t>
      </w:r>
      <w:r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регионального</w:t>
      </w:r>
      <w:r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проекта  "Экспорт продукции АПК"</w:t>
      </w:r>
      <w:r w:rsidR="001951B7"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Карачаево-Черкесской Республики</w:t>
      </w:r>
    </w:p>
    <w:p w:rsidR="00C72408" w:rsidRPr="002F12B9" w:rsidRDefault="00C72408" w:rsidP="00C7240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за __________ год</w:t>
      </w:r>
    </w:p>
    <w:p w:rsidR="00C72408" w:rsidRPr="002F12B9" w:rsidRDefault="00C72408" w:rsidP="00C7240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Наименование заявителя ________________________________________________</w:t>
      </w:r>
    </w:p>
    <w:p w:rsidR="00C72408" w:rsidRPr="002F12B9" w:rsidRDefault="00C72408" w:rsidP="00C7240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1951B7"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место нахождения заявителя</w:t>
      </w:r>
      <w:r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</w:t>
      </w:r>
    </w:p>
    <w:p w:rsidR="00C72408" w:rsidRPr="002F12B9" w:rsidRDefault="00C72408" w:rsidP="00C7240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ИНН заявителя _________________________________________________________</w:t>
      </w:r>
    </w:p>
    <w:p w:rsidR="00C72408" w:rsidRPr="002F12B9" w:rsidRDefault="00C72408" w:rsidP="00C7240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Соглашение </w:t>
      </w:r>
      <w:proofErr w:type="gramStart"/>
      <w:r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предоставлении субсидий на возмещение части затрат на реализацию мероприятий в области мелиорации земель сельскохозяйственного назначения в рамках</w:t>
      </w:r>
      <w:proofErr w:type="gramEnd"/>
      <w:r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регионального проекта  </w:t>
      </w:r>
      <w:r w:rsidR="001951B7"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"Экспорт продукции АПК" Карачаево-Черкесской Республики</w:t>
      </w:r>
    </w:p>
    <w:p w:rsidR="00C72408" w:rsidRPr="002F12B9" w:rsidRDefault="00C72408" w:rsidP="00C7240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N __________ от __________.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885"/>
        <w:gridCol w:w="1800"/>
        <w:gridCol w:w="553"/>
        <w:gridCol w:w="1807"/>
        <w:gridCol w:w="1661"/>
        <w:gridCol w:w="27"/>
      </w:tblGrid>
      <w:tr w:rsidR="002F12B9" w:rsidRPr="002F12B9" w:rsidTr="0009222F">
        <w:trPr>
          <w:trHeight w:val="15"/>
        </w:trPr>
        <w:tc>
          <w:tcPr>
            <w:tcW w:w="554" w:type="dxa"/>
            <w:hideMark/>
          </w:tcPr>
          <w:p w:rsidR="00C72408" w:rsidRPr="002F12B9" w:rsidRDefault="00C72408" w:rsidP="0009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2"/>
            <w:hideMark/>
          </w:tcPr>
          <w:p w:rsidR="00C72408" w:rsidRPr="002F12B9" w:rsidRDefault="00C72408" w:rsidP="0009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hideMark/>
          </w:tcPr>
          <w:p w:rsidR="00C72408" w:rsidRPr="002F12B9" w:rsidRDefault="00C72408" w:rsidP="0009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C72408" w:rsidRPr="002F12B9" w:rsidRDefault="00C72408" w:rsidP="0009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2B9" w:rsidRPr="002F12B9" w:rsidTr="0009222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результата предоставления субсидии и показателя, необходимого для достижения результата предоставления субсидии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 по Соглашению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</w:t>
            </w:r>
          </w:p>
        </w:tc>
      </w:tr>
      <w:tr w:rsidR="002F12B9" w:rsidRPr="002F12B9" w:rsidTr="0009222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12B9" w:rsidRPr="002F12B9" w:rsidTr="0009222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введенных в эксплуатацию мелиорируемых земель для выращивания экспортно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 в году, </w:t>
            </w:r>
            <w:proofErr w:type="gramStart"/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2B9" w:rsidRPr="002F12B9" w:rsidTr="0009222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экспорта продукции агропромышленного комплекса в натуральном выражении за счет создания новой товарной массы, полученной на землях сельскохозяйственного назначения, введенных в эксплуатацию мелиорируемых земель и вовлеченных в </w:t>
            </w: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оборот сельскохозяйственных угодий в ____ году (в году, следующем за годом предоставления субсидии), тонн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2B9" w:rsidRPr="002F12B9" w:rsidTr="0009222F">
        <w:trPr>
          <w:gridAfter w:val="1"/>
          <w:wAfter w:w="28" w:type="dxa"/>
          <w:trHeight w:val="15"/>
        </w:trPr>
        <w:tc>
          <w:tcPr>
            <w:tcW w:w="3511" w:type="dxa"/>
            <w:gridSpan w:val="2"/>
            <w:hideMark/>
          </w:tcPr>
          <w:p w:rsidR="00C72408" w:rsidRPr="002F12B9" w:rsidRDefault="00C72408" w:rsidP="0009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hideMark/>
          </w:tcPr>
          <w:p w:rsidR="00C72408" w:rsidRPr="002F12B9" w:rsidRDefault="00C72408" w:rsidP="0009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hideMark/>
          </w:tcPr>
          <w:p w:rsidR="00C72408" w:rsidRPr="002F12B9" w:rsidRDefault="00C72408" w:rsidP="0009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2B9" w:rsidRPr="002F12B9" w:rsidTr="0009222F">
        <w:trPr>
          <w:gridAfter w:val="1"/>
          <w:wAfter w:w="28" w:type="dxa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BDD" w:rsidRPr="002F12B9" w:rsidRDefault="00705BDD" w:rsidP="000922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408" w:rsidRPr="002F12B9" w:rsidRDefault="00C72408" w:rsidP="000922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1951B7"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proofErr w:type="gramStart"/>
            <w:r w:rsidR="001951B7"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получателя </w:t>
            </w:r>
            <w:r w:rsidR="001951B7"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</w:t>
            </w:r>
          </w:p>
          <w:p w:rsidR="00C72408" w:rsidRPr="002F12B9" w:rsidRDefault="00C72408" w:rsidP="000922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(при наличии)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72408" w:rsidRPr="002F12B9" w:rsidTr="0009222F">
        <w:trPr>
          <w:gridAfter w:val="1"/>
          <w:wAfter w:w="28" w:type="dxa"/>
        </w:trPr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BDD" w:rsidRPr="002F12B9" w:rsidRDefault="00705BDD" w:rsidP="000922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408" w:rsidRPr="002F12B9" w:rsidRDefault="00C72408" w:rsidP="0009222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 w:rsidR="001951B7"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proofErr w:type="gramStart"/>
            <w:r w:rsidR="001951B7"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1951B7"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получателя</w:t>
            </w:r>
            <w:r w:rsidR="001951B7"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C72408" w:rsidRPr="002F12B9" w:rsidRDefault="00C72408" w:rsidP="0009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C72408" w:rsidRPr="002F12B9" w:rsidRDefault="00C72408" w:rsidP="00C72408">
      <w:pPr>
        <w:rPr>
          <w:rFonts w:ascii="Times New Roman" w:hAnsi="Times New Roman" w:cs="Times New Roman"/>
          <w:sz w:val="24"/>
          <w:szCs w:val="24"/>
        </w:rPr>
      </w:pPr>
    </w:p>
    <w:p w:rsidR="00CE4EDC" w:rsidRPr="002F12B9" w:rsidRDefault="00CE4EDC" w:rsidP="00CE4ED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"______" _____________ 20____ г. Исполнитель ____________ тел. _______________</w:t>
      </w:r>
      <w:r w:rsidRPr="002F12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2B08" w:rsidRDefault="00A52B08" w:rsidP="00C724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52B08" w:rsidRDefault="00A52B08" w:rsidP="00A52B08">
      <w:pPr>
        <w:rPr>
          <w:rFonts w:ascii="Times New Roman" w:hAnsi="Times New Roman" w:cs="Times New Roman"/>
          <w:sz w:val="24"/>
          <w:szCs w:val="24"/>
        </w:rPr>
      </w:pPr>
    </w:p>
    <w:p w:rsidR="00A52B08" w:rsidRPr="00B30C80" w:rsidRDefault="00A52B08" w:rsidP="00A52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0C80">
        <w:rPr>
          <w:rFonts w:ascii="Times New Roman" w:eastAsia="Calibri" w:hAnsi="Times New Roman" w:cs="Times New Roman"/>
          <w:sz w:val="28"/>
          <w:szCs w:val="28"/>
        </w:rPr>
        <w:t xml:space="preserve">М.П. (при наличии)          </w:t>
      </w:r>
    </w:p>
    <w:p w:rsidR="00A52B08" w:rsidRDefault="00A52B08" w:rsidP="00A52B08">
      <w:pPr>
        <w:tabs>
          <w:tab w:val="left" w:pos="1089"/>
        </w:tabs>
        <w:rPr>
          <w:rFonts w:ascii="Times New Roman" w:hAnsi="Times New Roman" w:cs="Times New Roman"/>
          <w:sz w:val="28"/>
          <w:szCs w:val="28"/>
        </w:rPr>
      </w:pPr>
    </w:p>
    <w:p w:rsidR="00A52B08" w:rsidRPr="00B30C80" w:rsidRDefault="00A52B08" w:rsidP="00A52B08">
      <w:pPr>
        <w:rPr>
          <w:rFonts w:ascii="Times New Roman" w:hAnsi="Times New Roman" w:cs="Times New Roman"/>
          <w:sz w:val="28"/>
          <w:szCs w:val="28"/>
        </w:rPr>
      </w:pP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Главы и Правительства Карачаево-Черкесской Республики,</w:t>
      </w: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A52B08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4536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B08" w:rsidRPr="00E74536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A52B08" w:rsidRDefault="00A52B08" w:rsidP="00A52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53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4536">
        <w:rPr>
          <w:rFonts w:ascii="Times New Roman" w:hAnsi="Times New Roman" w:cs="Times New Roman"/>
          <w:sz w:val="28"/>
          <w:szCs w:val="28"/>
        </w:rPr>
        <w:t xml:space="preserve">       А.А. </w:t>
      </w:r>
      <w:proofErr w:type="spellStart"/>
      <w:r w:rsidRPr="00E74536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945DF4" w:rsidRPr="00A52B08" w:rsidRDefault="00945DF4" w:rsidP="00A52B08">
      <w:pPr>
        <w:rPr>
          <w:rFonts w:ascii="Times New Roman" w:hAnsi="Times New Roman" w:cs="Times New Roman"/>
          <w:sz w:val="24"/>
          <w:szCs w:val="24"/>
        </w:rPr>
      </w:pPr>
    </w:p>
    <w:sectPr w:rsidR="00945DF4" w:rsidRPr="00A52B08" w:rsidSect="00C724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37" w:rsidRDefault="00686737" w:rsidP="00C72408">
      <w:pPr>
        <w:spacing w:after="0" w:line="240" w:lineRule="auto"/>
      </w:pPr>
      <w:r>
        <w:separator/>
      </w:r>
    </w:p>
  </w:endnote>
  <w:endnote w:type="continuationSeparator" w:id="0">
    <w:p w:rsidR="00686737" w:rsidRDefault="00686737" w:rsidP="00C7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37" w:rsidRDefault="00686737" w:rsidP="00C72408">
      <w:pPr>
        <w:spacing w:after="0" w:line="240" w:lineRule="auto"/>
      </w:pPr>
      <w:r>
        <w:separator/>
      </w:r>
    </w:p>
  </w:footnote>
  <w:footnote w:type="continuationSeparator" w:id="0">
    <w:p w:rsidR="00686737" w:rsidRDefault="00686737" w:rsidP="00C72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CE"/>
    <w:rsid w:val="000033D9"/>
    <w:rsid w:val="00152230"/>
    <w:rsid w:val="00174F18"/>
    <w:rsid w:val="001951B7"/>
    <w:rsid w:val="001A4D18"/>
    <w:rsid w:val="001B0451"/>
    <w:rsid w:val="00240B5A"/>
    <w:rsid w:val="002665EE"/>
    <w:rsid w:val="00294734"/>
    <w:rsid w:val="002F12B9"/>
    <w:rsid w:val="002F1E5D"/>
    <w:rsid w:val="003A71F1"/>
    <w:rsid w:val="00426312"/>
    <w:rsid w:val="00557ECE"/>
    <w:rsid w:val="00566388"/>
    <w:rsid w:val="005714F2"/>
    <w:rsid w:val="0061276E"/>
    <w:rsid w:val="00686737"/>
    <w:rsid w:val="00705BDD"/>
    <w:rsid w:val="00740D66"/>
    <w:rsid w:val="007F69C4"/>
    <w:rsid w:val="008874FF"/>
    <w:rsid w:val="00894EE8"/>
    <w:rsid w:val="008C05EA"/>
    <w:rsid w:val="00945DF4"/>
    <w:rsid w:val="0099315A"/>
    <w:rsid w:val="00993235"/>
    <w:rsid w:val="00A52B08"/>
    <w:rsid w:val="00AD450B"/>
    <w:rsid w:val="00B1260A"/>
    <w:rsid w:val="00C72408"/>
    <w:rsid w:val="00CE4EDC"/>
    <w:rsid w:val="00D1047D"/>
    <w:rsid w:val="00E3260D"/>
    <w:rsid w:val="00EC3547"/>
    <w:rsid w:val="00EF76C3"/>
    <w:rsid w:val="00F2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4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045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B04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408"/>
  </w:style>
  <w:style w:type="paragraph" w:styleId="a9">
    <w:name w:val="footer"/>
    <w:basedOn w:val="a"/>
    <w:link w:val="aa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408"/>
  </w:style>
  <w:style w:type="table" w:styleId="ab">
    <w:name w:val="Table Grid"/>
    <w:basedOn w:val="a1"/>
    <w:uiPriority w:val="59"/>
    <w:rsid w:val="0019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4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4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045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B04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408"/>
  </w:style>
  <w:style w:type="paragraph" w:styleId="a9">
    <w:name w:val="footer"/>
    <w:basedOn w:val="a"/>
    <w:link w:val="aa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408"/>
  </w:style>
  <w:style w:type="table" w:styleId="ab">
    <w:name w:val="Table Grid"/>
    <w:basedOn w:val="a1"/>
    <w:uiPriority w:val="59"/>
    <w:rsid w:val="0019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4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346363" TargetMode="External"/><Relationship Id="rId13" Type="http://schemas.openxmlformats.org/officeDocument/2006/relationships/hyperlink" Target="https://docs.cntd.ru/document/561626224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docs.cntd.ru/document/90191933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hyperlink" Target="https://docs.cntd.ru/document/561626224" TargetMode="External"/><Relationship Id="rId7" Type="http://schemas.openxmlformats.org/officeDocument/2006/relationships/hyperlink" Target="https://docs.cntd.ru/document/902361843" TargetMode="External"/><Relationship Id="rId12" Type="http://schemas.openxmlformats.org/officeDocument/2006/relationships/hyperlink" Target="https://docs.cntd.ru/document/574679760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docs.cntd.ru/document/570820210" TargetMode="External"/><Relationship Id="rId33" Type="http://schemas.openxmlformats.org/officeDocument/2006/relationships/hyperlink" Target="https://docs.cntd.ru/document/56140618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hyperlink" Target="https://docs.cntd.ru/document/57082021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61406182" TargetMode="External"/><Relationship Id="rId24" Type="http://schemas.openxmlformats.org/officeDocument/2006/relationships/hyperlink" Target="https://docs.cntd.ru/document/574679760" TargetMode="External"/><Relationship Id="rId32" Type="http://schemas.openxmlformats.org/officeDocument/2006/relationships/hyperlink" Target="https://docs.cntd.ru/document/5616262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70820210" TargetMode="External"/><Relationship Id="rId23" Type="http://schemas.openxmlformats.org/officeDocument/2006/relationships/hyperlink" Target="https://docs.cntd.ru/document/574679760" TargetMode="External"/><Relationship Id="rId28" Type="http://schemas.openxmlformats.org/officeDocument/2006/relationships/hyperlink" Target="https://docs.cntd.ru/document/57082021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550346363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docs.cntd.ru/document/570820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61843" TargetMode="External"/><Relationship Id="rId14" Type="http://schemas.openxmlformats.org/officeDocument/2006/relationships/hyperlink" Target="https://docs.cntd.ru/document/570820210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docs.cntd.ru/document/570820210" TargetMode="External"/><Relationship Id="rId30" Type="http://schemas.openxmlformats.org/officeDocument/2006/relationships/hyperlink" Target="https://docs.cntd.ru/document/57467976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24</Pages>
  <Words>5862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cp:lastPrinted>2021-08-12T11:12:00Z</cp:lastPrinted>
  <dcterms:created xsi:type="dcterms:W3CDTF">2021-06-17T08:45:00Z</dcterms:created>
  <dcterms:modified xsi:type="dcterms:W3CDTF">2021-08-12T11:17:00Z</dcterms:modified>
</cp:coreProperties>
</file>