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B287C">
      <w:pPr>
        <w:pStyle w:val="1"/>
      </w:pPr>
      <w:r>
        <w:fldChar w:fldCharType="begin"/>
      </w:r>
      <w:r>
        <w:instrText>HYPERLINK "https://internet.garant.ru/document/redirect/73835310/0"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Карачаево-Черкесской Республики от 30 м</w:t>
      </w:r>
      <w:r>
        <w:rPr>
          <w:rStyle w:val="a4"/>
          <w:b w:val="0"/>
          <w:bCs w:val="0"/>
        </w:rPr>
        <w:t>арта 2020 г. N 76 "Об утверждении Порядка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</w:t>
      </w:r>
      <w:r>
        <w:rPr>
          <w:rStyle w:val="a4"/>
          <w:b w:val="0"/>
          <w:bCs w:val="0"/>
        </w:rPr>
        <w:t>еализации проектов комплексного развития сельских территорий (сельских агломераций)" (с изменениями и дополнениями)</w:t>
      </w:r>
      <w:r>
        <w:fldChar w:fldCharType="end"/>
      </w:r>
    </w:p>
    <w:p w:rsidR="00000000" w:rsidRDefault="004B287C">
      <w:pPr>
        <w:pStyle w:val="ab"/>
      </w:pPr>
      <w:r>
        <w:t>С изменениями и дополнениями от:</w:t>
      </w:r>
    </w:p>
    <w:p w:rsidR="00000000" w:rsidRDefault="004B2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декабря 2022 г.</w:t>
      </w:r>
    </w:p>
    <w:p w:rsidR="00000000" w:rsidRDefault="004B287C"/>
    <w:p w:rsidR="00000000" w:rsidRDefault="004B287C">
      <w:r>
        <w:t xml:space="preserve">В целях реализации мероприятий </w:t>
      </w:r>
      <w:hyperlink r:id="rId8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9" w:history="1">
        <w:r>
          <w:rPr>
            <w:rStyle w:val="a4"/>
          </w:rPr>
          <w:t>постановлени</w:t>
        </w:r>
        <w:r>
          <w:rPr>
            <w:rStyle w:val="a4"/>
          </w:rPr>
          <w:t>ем</w:t>
        </w:r>
      </w:hyperlink>
      <w:r>
        <w:t xml:space="preserve"> Правительства Российской Федерации от 31.05.2019 N 696, Правительство Карачаево-Черкесской Республики постановляет:</w:t>
      </w:r>
    </w:p>
    <w:p w:rsidR="00000000" w:rsidRDefault="004B287C">
      <w:bookmarkStart w:id="1" w:name="sub_1"/>
      <w:r>
        <w:t>1. Утвердить Порядок предоставления и расходования субсидий бюджетам муниципальных районов и городских округов Карачаево-Черкесск</w:t>
      </w:r>
      <w:r>
        <w:t xml:space="preserve">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B287C">
      <w:bookmarkStart w:id="2" w:name="sub_2"/>
      <w:bookmarkEnd w:id="1"/>
      <w:r>
        <w:t>2. Опред</w:t>
      </w:r>
      <w:r>
        <w:t xml:space="preserve">елить Министерство сельского хозяйства Карачаево-Черкесской Республики уполномоченным органом исполнительной власти Карачаево-Черкесской Республики по выполнению мероприятий предоставления и расходования субсидий бюджетам муниципальных районов и городских </w:t>
      </w:r>
      <w:r>
        <w:t xml:space="preserve">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агломераций), в рамках </w:t>
      </w:r>
      <w:hyperlink r:id="rId1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</w:t>
      </w:r>
      <w:r>
        <w:t xml:space="preserve"> Федерации от 31.05.2019 N 696, (далее - Уполномоченный орган).</w:t>
      </w:r>
    </w:p>
    <w:bookmarkEnd w:id="2"/>
    <w:p w:rsidR="00000000" w:rsidRDefault="004B28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287C">
            <w:pPr>
              <w:pStyle w:val="ac"/>
            </w:pPr>
            <w:r>
              <w:t>Председатель Правительства Карачаево-Черкесской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287C">
            <w:pPr>
              <w:pStyle w:val="aa"/>
              <w:jc w:val="right"/>
            </w:pPr>
            <w:r>
              <w:t>А.А. Озов</w:t>
            </w:r>
          </w:p>
        </w:tc>
      </w:tr>
    </w:tbl>
    <w:p w:rsidR="00000000" w:rsidRDefault="004B287C"/>
    <w:p w:rsidR="00000000" w:rsidRDefault="004B287C"/>
    <w:p w:rsidR="00000000" w:rsidRDefault="004B2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B2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3 января 2023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16 декабря 2022 г. N 362</w:t>
      </w:r>
    </w:p>
    <w:p w:rsidR="00000000" w:rsidRDefault="004B287C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287C">
      <w:pPr>
        <w:ind w:firstLine="0"/>
        <w:jc w:val="right"/>
      </w:pPr>
      <w:r>
        <w:rPr>
          <w:rStyle w:val="a3"/>
        </w:rPr>
        <w:t>Приложение</w:t>
      </w:r>
    </w:p>
    <w:p w:rsidR="00000000" w:rsidRDefault="004B287C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4B287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4B287C">
      <w:pPr>
        <w:ind w:firstLine="0"/>
        <w:jc w:val="right"/>
      </w:pPr>
      <w:r>
        <w:rPr>
          <w:rStyle w:val="a3"/>
        </w:rPr>
        <w:t>от 30.03.2020 N 76</w:t>
      </w:r>
    </w:p>
    <w:p w:rsidR="00000000" w:rsidRDefault="004B287C"/>
    <w:p w:rsidR="00000000" w:rsidRDefault="004B287C">
      <w:pPr>
        <w:pStyle w:val="1"/>
      </w:pPr>
      <w:r>
        <w:t xml:space="preserve">Порядок </w:t>
      </w:r>
      <w:r>
        <w:br/>
        <w:t>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</w:t>
      </w:r>
      <w:r>
        <w:t>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</w:p>
    <w:p w:rsidR="00000000" w:rsidRDefault="004B287C">
      <w:pPr>
        <w:pStyle w:val="ab"/>
      </w:pPr>
      <w:r>
        <w:t>С изменениями и дополнениями от:</w:t>
      </w:r>
    </w:p>
    <w:p w:rsidR="00000000" w:rsidRDefault="004B2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декабря 2022 г.</w:t>
      </w:r>
    </w:p>
    <w:p w:rsidR="00000000" w:rsidRDefault="004B287C"/>
    <w:p w:rsidR="00000000" w:rsidRDefault="004B287C">
      <w:pPr>
        <w:pStyle w:val="1"/>
      </w:pPr>
      <w:bookmarkStart w:id="4" w:name="sub_100"/>
      <w:r>
        <w:lastRenderedPageBreak/>
        <w:t>1. Общий порядок</w:t>
      </w:r>
    </w:p>
    <w:bookmarkEnd w:id="4"/>
    <w:p w:rsidR="00000000" w:rsidRDefault="004B287C"/>
    <w:p w:rsidR="00000000" w:rsidRDefault="004B287C">
      <w:bookmarkStart w:id="5" w:name="sub_11"/>
      <w:r>
        <w:t>1.1. Настоящий Порядок устанавливает правила предоставления и расходования субсидий за счет средств республиканского бюджета и средств, поступивших из федерального бюджета в республиканский бюджет, бюджетам муниципальных образований Карачаево-Черкесской Ре</w:t>
      </w:r>
      <w:r>
        <w:t>спублики (далее - муниципальные образования) в целях софинансирования обязательств муниципального образования возникающих при реализации проектов комплексного развития сельских территорий (далее - субсидия, проект).</w:t>
      </w:r>
    </w:p>
    <w:p w:rsidR="00000000" w:rsidRDefault="004B287C">
      <w:bookmarkStart w:id="6" w:name="sub_12"/>
      <w:bookmarkEnd w:id="5"/>
      <w:r>
        <w:t>1.2. Для целей настоящего По</w:t>
      </w:r>
      <w:r>
        <w:t>рядка используются следующие понятия:</w:t>
      </w:r>
    </w:p>
    <w:p w:rsidR="00000000" w:rsidRDefault="004B287C">
      <w:bookmarkStart w:id="7" w:name="sub_121"/>
      <w:bookmarkEnd w:id="6"/>
      <w:r>
        <w:rPr>
          <w:rStyle w:val="a3"/>
        </w:rPr>
        <w:t>сельские территории</w:t>
      </w:r>
      <w: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района; сельские населенные пункты, входящие в состав горо</w:t>
      </w:r>
      <w:r>
        <w:t xml:space="preserve">дских поселений, муниципальных округов, городских округов; рабочие поселки, наделенные статусом городских поселений; рабочие поселки, входящие в состав городских поселений, муниципальных округов, городских округов. </w:t>
      </w:r>
      <w:hyperlink r:id="rId14" w:history="1">
        <w:r>
          <w:rPr>
            <w:rStyle w:val="a4"/>
          </w:rPr>
          <w:t>Перечень</w:t>
        </w:r>
      </w:hyperlink>
      <w:r>
        <w:t xml:space="preserve"> таких сельских населенных пунктов и рабочих поселков на территории Карачаево-Черкесской Республики определен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Карачае</w:t>
      </w:r>
      <w:r>
        <w:t>во-Черкесской Республики от 18.02.2020 N 16 "Об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"Комплексное развитие сельских</w:t>
      </w:r>
      <w:r>
        <w:t xml:space="preserve"> территорий" (далее - постановление Правительства Карачаево-Черкесской Республики от 18.02.2020 N 16);</w:t>
      </w:r>
    </w:p>
    <w:p w:rsidR="00000000" w:rsidRDefault="004B287C">
      <w:bookmarkStart w:id="8" w:name="sub_122"/>
      <w:bookmarkEnd w:id="7"/>
      <w:r>
        <w:rPr>
          <w:rStyle w:val="a3"/>
        </w:rPr>
        <w:t>сельские агломерации</w:t>
      </w:r>
      <w:r>
        <w:t xml:space="preserve"> - примыкающие друг к другу сельские территории и (или) граничащие с сельскими территориями поселки городского типа и (</w:t>
      </w:r>
      <w:r>
        <w:t>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 понимаются сельские</w:t>
      </w:r>
      <w:r>
        <w:t xml:space="preserve"> территории, имеющие смежные границы муниципальных образований. </w:t>
      </w:r>
      <w:hyperlink r:id="rId16" w:history="1">
        <w:r>
          <w:rPr>
            <w:rStyle w:val="a4"/>
          </w:rPr>
          <w:t>Перечень</w:t>
        </w:r>
      </w:hyperlink>
      <w:r>
        <w:t xml:space="preserve"> сельских агломераций на территории Карачаево-Черкесской Республики определен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Карачаево-Черкесской Республики от 18.02.2020 N 16;</w:t>
      </w:r>
    </w:p>
    <w:p w:rsidR="00000000" w:rsidRDefault="004B287C">
      <w:bookmarkStart w:id="9" w:name="sub_123"/>
      <w:bookmarkEnd w:id="8"/>
      <w:r>
        <w:rPr>
          <w:rStyle w:val="a3"/>
        </w:rPr>
        <w:t>проект</w:t>
      </w:r>
      <w:r>
        <w:t xml:space="preserve"> - документ, содержащий комплекс мероприятий, реализуемых на сельских территориях или на территории сельских агломерац</w:t>
      </w:r>
      <w:r>
        <w:t xml:space="preserve">ий, обеспечивающих достижение целей и показателей (индикаторов) </w:t>
      </w:r>
      <w:hyperlink r:id="rId18" w:history="1">
        <w:r>
          <w:rPr>
            <w:rStyle w:val="a4"/>
          </w:rPr>
          <w:t>государственной программы</w:t>
        </w:r>
      </w:hyperlink>
      <w:r>
        <w:t xml:space="preserve"> (подпрограммы) Карачаево-Черкесской Республики, направленных на достижение целей федерального</w:t>
      </w:r>
      <w:r>
        <w:t xml:space="preserve"> проекта "Современный облик сельских территорий" направления (</w:t>
      </w:r>
      <w:hyperlink r:id="rId19" w:history="1">
        <w:r>
          <w:rPr>
            <w:rStyle w:val="a4"/>
          </w:rPr>
          <w:t>подпрограммы</w:t>
        </w:r>
      </w:hyperlink>
      <w:r>
        <w:t>) "Создание и развитие инфраструктуры на сельских территориях" государственной программы и способствующих дос</w:t>
      </w:r>
      <w:r>
        <w:t>тижению целей государственной программы;</w:t>
      </w:r>
    </w:p>
    <w:p w:rsidR="00000000" w:rsidRDefault="004B287C">
      <w:bookmarkStart w:id="10" w:name="sub_124"/>
      <w:bookmarkEnd w:id="9"/>
      <w:r>
        <w:rPr>
          <w:rStyle w:val="a3"/>
        </w:rPr>
        <w:t>стоимость проекта</w:t>
      </w:r>
      <w:r>
        <w:t xml:space="preserve"> - сумма денежных средств, определенная на основании сметной стоимости, а также иных документально подтвержденных и обоснованных затрат, необходимых для реализации проекта.</w:t>
      </w:r>
    </w:p>
    <w:p w:rsidR="00000000" w:rsidRDefault="004B287C">
      <w:bookmarkStart w:id="11" w:name="sub_13"/>
      <w:bookmarkEnd w:id="10"/>
      <w:r>
        <w:t xml:space="preserve">1.3. Субсидия предоставляется бюджету муниципального образования в рамках реализации мероприятий </w:t>
      </w:r>
      <w:hyperlink r:id="rId20" w:history="1">
        <w:r>
          <w:rPr>
            <w:rStyle w:val="a4"/>
          </w:rPr>
          <w:t>подпрограммы</w:t>
        </w:r>
      </w:hyperlink>
      <w:r>
        <w:t xml:space="preserve"> "Комплексное развитие сельских территорий Карачаево-Черкесской Республи</w:t>
      </w:r>
      <w:r>
        <w:t xml:space="preserve">ки" </w:t>
      </w:r>
      <w:hyperlink r:id="rId21" w:history="1">
        <w:r>
          <w:rPr>
            <w:rStyle w:val="a4"/>
          </w:rPr>
          <w:t>государственной программы</w:t>
        </w:r>
      </w:hyperlink>
      <w:r>
        <w:t xml:space="preserve"> "Развитие сельского хозяйства Карачаево-Черкесской Республики", утвержденной </w:t>
      </w:r>
      <w:hyperlink r:id="rId22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Карачаево-Черкесской Республики от 22.01.2019 N 13 (далее - Программа), в пределах бюджетных ассигнований, предусмотренных </w:t>
      </w:r>
      <w:hyperlink r:id="rId23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</w:t>
      </w:r>
      <w:r>
        <w:t>о республиканском бюджете на соответствующий финансовый год и на плановый период, в соответствии с лимитами бюджетных обязательств, доведенных в установленном порядке до Министерства сельского хозяйства Карачаево-Черкесской Республики (далее - Министерство</w:t>
      </w:r>
      <w:r>
        <w:t xml:space="preserve">) на цели, предусмотренные </w:t>
      </w:r>
      <w:hyperlink w:anchor="sub_11" w:history="1">
        <w:r>
          <w:rPr>
            <w:rStyle w:val="a4"/>
          </w:rPr>
          <w:t>пунктом 1.1</w:t>
        </w:r>
      </w:hyperlink>
      <w:r>
        <w:t xml:space="preserve"> настоящего Порядка.</w:t>
      </w:r>
    </w:p>
    <w:p w:rsidR="00000000" w:rsidRDefault="004B287C">
      <w:bookmarkStart w:id="12" w:name="sub_14"/>
      <w:bookmarkEnd w:id="11"/>
      <w:r>
        <w:t>1.4. Субсидия предоставляется бюджетам муниципальных образований Карачаево-Черкесской Республики, проекты которых прошли отбор проектов комплексного развития сел</w:t>
      </w:r>
      <w:r>
        <w:t xml:space="preserve">ьских территорий (сельских агломераций) в соответствии с </w:t>
      </w:r>
      <w:hyperlink r:id="rId24" w:history="1">
        <w:r>
          <w:rPr>
            <w:rStyle w:val="a4"/>
          </w:rPr>
          <w:t>Порядком</w:t>
        </w:r>
      </w:hyperlink>
      <w:r>
        <w:t xml:space="preserve"> отбора проектов </w:t>
      </w:r>
      <w:r>
        <w:lastRenderedPageBreak/>
        <w:t>комплексного развития сельских территорий или сельских агломераций, а также требования к составу зая</w:t>
      </w:r>
      <w:r>
        <w:t xml:space="preserve">вочной документации, представляемой на отбор проектов, утвержденным </w:t>
      </w:r>
      <w:hyperlink r:id="rId25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17.11.2021 N 767 (далее - Порядок отбора проектов, </w:t>
      </w:r>
      <w:r>
        <w:t>Приказ N 767).</w:t>
      </w:r>
    </w:p>
    <w:p w:rsidR="00000000" w:rsidRDefault="004B287C">
      <w:bookmarkStart w:id="13" w:name="sub_15"/>
      <w:bookmarkEnd w:id="12"/>
      <w:r>
        <w:t>1.5. Главным распорядителем бюджетных средств, выделенных для предоставления субсидии, является Министерство.</w:t>
      </w:r>
    </w:p>
    <w:p w:rsidR="00000000" w:rsidRDefault="004B287C">
      <w:bookmarkStart w:id="14" w:name="sub_16"/>
      <w:bookmarkEnd w:id="13"/>
      <w:r>
        <w:t>1.6. Реализация мероприятий осуществляется на условиях софинансирования из средств федерального, республика</w:t>
      </w:r>
      <w:r>
        <w:t>нского, местного бюджетов и внебюджетных источников.</w:t>
      </w:r>
    </w:p>
    <w:p w:rsidR="00000000" w:rsidRDefault="004B287C">
      <w:bookmarkStart w:id="15" w:name="sub_17"/>
      <w:bookmarkEnd w:id="14"/>
      <w:r>
        <w:t>1.7. Доля средств федерального и республиканского бюджетов составляет не более 99,9% от стоимости проекта без учета средств на реализацию проекта из внебюджетных источников.</w:t>
      </w:r>
    </w:p>
    <w:p w:rsidR="00000000" w:rsidRDefault="004B287C">
      <w:bookmarkStart w:id="16" w:name="sub_171"/>
      <w:bookmarkEnd w:id="15"/>
      <w:r>
        <w:t>Доля</w:t>
      </w:r>
      <w:r>
        <w:t xml:space="preserve"> средств местных бюджетов составляет не менее 0,1% от стоимости проекта без учета средств на реализацию проекта из внебюджетных источников.</w:t>
      </w:r>
    </w:p>
    <w:p w:rsidR="00000000" w:rsidRDefault="004B287C">
      <w:bookmarkStart w:id="17" w:name="sub_172"/>
      <w:bookmarkEnd w:id="16"/>
      <w:r>
        <w:t>Уполномоченный орган муниципального образования вправе привлечь внебюджетные источники исходя из необх</w:t>
      </w:r>
      <w:r>
        <w:t xml:space="preserve">одимости достижения значения показателей, предусмотренных соглашением о предоставлении субсидии из бюджета Карачаево-Черкесской Республики, заключенным между Министерством и органом местного самоуправления муниципального образования, согласно </w:t>
      </w:r>
      <w:hyperlink w:anchor="sub_314" w:history="1">
        <w:r>
          <w:rPr>
            <w:rStyle w:val="a4"/>
          </w:rPr>
          <w:t>подпункту 3.1.4 пункта 3</w:t>
        </w:r>
      </w:hyperlink>
      <w:r>
        <w:t xml:space="preserve"> настоящего Порядка.</w:t>
      </w:r>
    </w:p>
    <w:bookmarkEnd w:id="17"/>
    <w:p w:rsidR="00000000" w:rsidRDefault="004B287C"/>
    <w:p w:rsidR="00000000" w:rsidRDefault="004B287C">
      <w:pPr>
        <w:pStyle w:val="1"/>
      </w:pPr>
      <w:bookmarkStart w:id="18" w:name="sub_200"/>
      <w:r>
        <w:t>2. Цели предоставления субсидии</w:t>
      </w:r>
    </w:p>
    <w:bookmarkEnd w:id="18"/>
    <w:p w:rsidR="00000000" w:rsidRDefault="004B287C"/>
    <w:p w:rsidR="00000000" w:rsidRDefault="004B287C">
      <w:bookmarkStart w:id="19" w:name="sub_21"/>
      <w:r>
        <w:t>2.1. Субсидия имеет целевое назначение.</w:t>
      </w:r>
    </w:p>
    <w:p w:rsidR="00000000" w:rsidRDefault="004B287C">
      <w:bookmarkStart w:id="20" w:name="sub_22"/>
      <w:bookmarkEnd w:id="19"/>
      <w:r>
        <w:t>2.2. Мероприятия, предусмотренные проектом, должны быть направлены на реализацию следу</w:t>
      </w:r>
      <w:r>
        <w:t>ющих направлений:</w:t>
      </w:r>
    </w:p>
    <w:p w:rsidR="00000000" w:rsidRDefault="004B287C">
      <w:bookmarkStart w:id="21" w:name="sub_221"/>
      <w:bookmarkEnd w:id="20"/>
      <w:r>
        <w:t>2.2.1.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предназначенные для предоставления соответствующих услуг населению (в том числе м</w:t>
      </w:r>
      <w:r>
        <w:t>аломобильному):</w:t>
      </w:r>
    </w:p>
    <w:p w:rsidR="00000000" w:rsidRDefault="004B287C">
      <w:bookmarkStart w:id="22" w:name="sub_2211"/>
      <w:bookmarkEnd w:id="21"/>
      <w:r>
        <w:t>государственных или муниципальных дошкольных образовательных организаций;</w:t>
      </w:r>
    </w:p>
    <w:p w:rsidR="00000000" w:rsidRDefault="004B287C">
      <w:bookmarkStart w:id="23" w:name="sub_2212"/>
      <w:bookmarkEnd w:id="22"/>
      <w:r>
        <w:t>государственных или муниципальных общеобразовательных организаций;</w:t>
      </w:r>
    </w:p>
    <w:p w:rsidR="00000000" w:rsidRDefault="004B287C">
      <w:bookmarkStart w:id="24" w:name="sub_2213"/>
      <w:bookmarkEnd w:id="23"/>
      <w:r>
        <w:t>государственных или муниципальных организаций дополн</w:t>
      </w:r>
      <w:r>
        <w:t>ительного образования;</w:t>
      </w:r>
    </w:p>
    <w:p w:rsidR="00000000" w:rsidRDefault="004B287C">
      <w:bookmarkStart w:id="25" w:name="sub_2214"/>
      <w:bookmarkEnd w:id="24"/>
      <w:r>
        <w:t>медицинских организаций государственной и муниципальной систем здравоохранения и их структурных подразделений, на базе которых оказывается первичная медико-санитарная помощь (поликлиники, их структурные подразделения,</w:t>
      </w:r>
      <w:r>
        <w:t xml:space="preserve"> врачебные амбулатории, центры (отделения) общей врачебной практики (семейной медицины), фельдшерско-акушерские пункты и фельдшерские здравпункты), а также здания (отдельные здания, комплексы зданий) центральных районных больниц, в том числе предусматриваю</w:t>
      </w:r>
      <w:r>
        <w:t>щих оказание медицинской помощи;</w:t>
      </w:r>
    </w:p>
    <w:p w:rsidR="00000000" w:rsidRDefault="004B287C">
      <w:bookmarkStart w:id="26" w:name="sub_2215"/>
      <w:bookmarkEnd w:id="25"/>
      <w:r>
        <w:t>с применением телемедицинских технологий;</w:t>
      </w:r>
    </w:p>
    <w:p w:rsidR="00000000" w:rsidRDefault="004B287C">
      <w:bookmarkStart w:id="27" w:name="sub_2216"/>
      <w:bookmarkEnd w:id="26"/>
      <w:r>
        <w:t>государственных или муниципальных организаций культурно-досугового типа;</w:t>
      </w:r>
    </w:p>
    <w:p w:rsidR="00000000" w:rsidRDefault="004B287C">
      <w:bookmarkStart w:id="28" w:name="sub_2217"/>
      <w:bookmarkEnd w:id="27"/>
      <w:r>
        <w:t>г</w:t>
      </w:r>
      <w:r>
        <w:t>осударственных или муниципальных физкультурно-спортивных организаций;</w:t>
      </w:r>
    </w:p>
    <w:p w:rsidR="00000000" w:rsidRDefault="004B287C">
      <w:bookmarkStart w:id="29" w:name="sub_2218"/>
      <w:bookmarkEnd w:id="28"/>
      <w:r>
        <w:t>государственных организаций социального обслуживания;</w:t>
      </w:r>
    </w:p>
    <w:p w:rsidR="00000000" w:rsidRDefault="004B287C">
      <w:bookmarkStart w:id="30" w:name="sub_2219"/>
      <w:bookmarkEnd w:id="29"/>
      <w:r>
        <w:t>государственных учреждений, подведомственных уполномоченным в области ветеринарии органам исполнител</w:t>
      </w:r>
      <w:r>
        <w:t>ьной власти субъектов Российской Федерации, и их структурных подразделений, осуществляющих проведение профилактических, диагностических и лечебных мероприятий.</w:t>
      </w:r>
    </w:p>
    <w:p w:rsidR="00000000" w:rsidRDefault="004B287C">
      <w:bookmarkStart w:id="31" w:name="sub_222"/>
      <w:bookmarkEnd w:id="30"/>
      <w:r>
        <w:t xml:space="preserve">2.2.2. Строительство, реконструкция (модернизация) объектов, предназначенных для </w:t>
      </w:r>
      <w:r>
        <w:t xml:space="preserve">размещения в них организаций народных художественных промыслов, входящих в перечень, утвержденный в соответствии с </w:t>
      </w:r>
      <w:hyperlink r:id="rId26" w:history="1">
        <w:r>
          <w:rPr>
            <w:rStyle w:val="a4"/>
          </w:rPr>
          <w:t>пунктом 1 статьи 4</w:t>
        </w:r>
      </w:hyperlink>
      <w:r>
        <w:t xml:space="preserve"> Федерального закона "О народных художественных промы</w:t>
      </w:r>
      <w:r>
        <w:t>слах".</w:t>
      </w:r>
    </w:p>
    <w:p w:rsidR="00000000" w:rsidRDefault="004B287C">
      <w:bookmarkStart w:id="32" w:name="sub_223"/>
      <w:bookmarkEnd w:id="31"/>
      <w:r>
        <w:t>2.2.3.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собственности.</w:t>
      </w:r>
    </w:p>
    <w:p w:rsidR="00000000" w:rsidRDefault="004B287C">
      <w:bookmarkStart w:id="33" w:name="sub_224"/>
      <w:bookmarkEnd w:id="32"/>
      <w:r>
        <w:t>2.2.4.</w:t>
      </w:r>
      <w:r>
        <w:t xml:space="preserve">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</w:t>
      </w:r>
      <w:hyperlink w:anchor="sub_221" w:history="1">
        <w:r>
          <w:rPr>
            <w:rStyle w:val="a4"/>
          </w:rPr>
          <w:t>подпункте 2.2.1</w:t>
        </w:r>
      </w:hyperlink>
      <w:r>
        <w:t xml:space="preserve"> настоящего пункта:</w:t>
      </w:r>
    </w:p>
    <w:p w:rsidR="00000000" w:rsidRDefault="004B287C">
      <w:bookmarkStart w:id="34" w:name="sub_2241"/>
      <w:bookmarkEnd w:id="33"/>
      <w:r>
        <w:t>п</w:t>
      </w:r>
      <w:r>
        <w:t>ассажирских автобусов (микроавтобусов), в том числе использующих природный газ в качестве моторного топлива;</w:t>
      </w:r>
    </w:p>
    <w:p w:rsidR="00000000" w:rsidRDefault="004B287C">
      <w:bookmarkStart w:id="35" w:name="sub_2242"/>
      <w:bookmarkEnd w:id="34"/>
      <w:r>
        <w:t>санитарных автомобилей (автомобилей скорой помощи класса А, оснащенных необходимым оборудованием);</w:t>
      </w:r>
    </w:p>
    <w:p w:rsidR="00000000" w:rsidRDefault="004B287C">
      <w:bookmarkStart w:id="36" w:name="sub_2243"/>
      <w:bookmarkEnd w:id="35"/>
      <w:r>
        <w:t>комплексов перед</w:t>
      </w:r>
      <w:r>
        <w:t>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000000" w:rsidRDefault="004B287C">
      <w:bookmarkStart w:id="37" w:name="sub_2244"/>
      <w:bookmarkEnd w:id="36"/>
      <w:r>
        <w:t>мобильных ветеринарных пунктов на колесных транспортных сре</w:t>
      </w:r>
      <w:r>
        <w:t>дствах с оснащением для оказания ветеринарной помощи и проведения профилактических мероприятий;</w:t>
      </w:r>
    </w:p>
    <w:p w:rsidR="00000000" w:rsidRDefault="004B287C">
      <w:bookmarkStart w:id="38" w:name="sub_2245"/>
      <w:bookmarkEnd w:id="37"/>
      <w:r>
        <w:t xml:space="preserve">мобильных утилизационных установок для обеспечения деятельности государственных учреждений, указанных в </w:t>
      </w:r>
      <w:hyperlink w:anchor="sub_2218" w:history="1">
        <w:r>
          <w:rPr>
            <w:rStyle w:val="a4"/>
          </w:rPr>
          <w:t>абзаце девятом по</w:t>
        </w:r>
        <w:r>
          <w:rPr>
            <w:rStyle w:val="a4"/>
          </w:rPr>
          <w:t>дпункта 2.2.1</w:t>
        </w:r>
      </w:hyperlink>
      <w:r>
        <w:t xml:space="preserve"> настоящего пункта.</w:t>
      </w:r>
    </w:p>
    <w:p w:rsidR="00000000" w:rsidRDefault="004B287C">
      <w:bookmarkStart w:id="39" w:name="sub_225"/>
      <w:bookmarkEnd w:id="38"/>
      <w:r>
        <w:t xml:space="preserve">2.2.5. Приобретение и установка модульных конструкций (за исключением объектов с массовым пребыванием граждан, указанных в </w:t>
      </w:r>
      <w:hyperlink r:id="rId27" w:history="1">
        <w:r>
          <w:rPr>
            <w:rStyle w:val="a4"/>
          </w:rPr>
          <w:t>части 2 стат</w:t>
        </w:r>
        <w:r>
          <w:rPr>
            <w:rStyle w:val="a4"/>
          </w:rPr>
          <w:t>ьи 49</w:t>
        </w:r>
      </w:hyperlink>
      <w:r>
        <w:t xml:space="preserve">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sub_221" w:history="1">
        <w:r>
          <w:rPr>
            <w:rStyle w:val="a4"/>
          </w:rPr>
          <w:t>подпункте 2.2.1</w:t>
        </w:r>
      </w:hyperlink>
      <w:r>
        <w:t xml:space="preserve"> настоящего пункта.</w:t>
      </w:r>
    </w:p>
    <w:p w:rsidR="00000000" w:rsidRDefault="004B287C">
      <w:bookmarkStart w:id="40" w:name="sub_226"/>
      <w:bookmarkEnd w:id="39"/>
      <w:r>
        <w:t>2.2.6.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</w:t>
      </w:r>
      <w:r>
        <w:t xml:space="preserve"> сооружений для функционирования объектов жилого и нежилого фонда (объектов социального назначения).</w:t>
      </w:r>
    </w:p>
    <w:p w:rsidR="00000000" w:rsidRDefault="004B287C">
      <w:bookmarkStart w:id="41" w:name="sub_227"/>
      <w:bookmarkEnd w:id="40"/>
      <w:r>
        <w:t>2.2.7. Строительство блочно-модульных котельных и перевод многоквартирных домов на индивидуальное отопление (включая техническое присоединени</w:t>
      </w:r>
      <w:r>
        <w:t>е к газовым сетям), строительство, реконструкция и капитальный ремонт тепловых сетей (за исключением котельных).</w:t>
      </w:r>
    </w:p>
    <w:p w:rsidR="00000000" w:rsidRDefault="004B287C">
      <w:bookmarkStart w:id="42" w:name="sub_228"/>
      <w:bookmarkEnd w:id="41"/>
      <w:r>
        <w:t>2.2.8. Строительство газораспределительных сетей с распределительными газопроводами низкого давления (для газоснабжения жилых дом</w:t>
      </w:r>
      <w:r>
        <w:t>ов, общественных зданий и коммунально-бытовых предприятий) и среднего давления (для подачи газа в газопровод низкого давления).</w:t>
      </w:r>
    </w:p>
    <w:p w:rsidR="00000000" w:rsidRDefault="004B287C">
      <w:bookmarkStart w:id="43" w:name="sub_229"/>
      <w:bookmarkEnd w:id="42"/>
      <w:r>
        <w:t>2.2.9. Строительство, приобретение и монтаж газо-поршневых установок, газгольдеров.</w:t>
      </w:r>
    </w:p>
    <w:p w:rsidR="00000000" w:rsidRDefault="004B287C">
      <w:bookmarkStart w:id="44" w:name="sub_2210"/>
      <w:bookmarkEnd w:id="43"/>
      <w:r>
        <w:t>2.2.10. Строите</w:t>
      </w:r>
      <w:r>
        <w:t>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технологий).</w:t>
      </w:r>
    </w:p>
    <w:p w:rsidR="00000000" w:rsidRDefault="004B287C">
      <w:bookmarkStart w:id="45" w:name="sub_22110"/>
      <w:bookmarkEnd w:id="44"/>
      <w:r>
        <w:t>2.2.11. Строительство и оборудо</w:t>
      </w:r>
      <w:r>
        <w:t>вание автономных и возобновляемых источников энергии для энергообеспечения объектов жилого и нежилого фонда (объектов социального назначения).</w:t>
      </w:r>
    </w:p>
    <w:p w:rsidR="00000000" w:rsidRDefault="004B287C">
      <w:bookmarkStart w:id="46" w:name="sub_22120"/>
      <w:bookmarkEnd w:id="45"/>
      <w:r>
        <w:t>2.2.12. Развитие телекоммуникаций (строительство (прокладка) линий передачи данных, приобретени</w:t>
      </w:r>
      <w:r>
        <w:t>е и монтаж оборудования, обеспечивающего в том числе возможность беспроводного подключения к информационно-телекоммуникационной сети Интернет) объектов жилого и нежилого фонда (объектов социального назначения).</w:t>
      </w:r>
    </w:p>
    <w:p w:rsidR="00000000" w:rsidRDefault="004B287C">
      <w:bookmarkStart w:id="47" w:name="sub_22130"/>
      <w:bookmarkEnd w:id="46"/>
      <w:r>
        <w:t>2.2.13. Строительство объек</w:t>
      </w:r>
      <w:r>
        <w:t xml:space="preserve">тов (зданий) для размещения в них многофункциональных государственных и муниципальных организаций, включая организации, указанные в </w:t>
      </w:r>
      <w:hyperlink w:anchor="sub_221" w:history="1">
        <w:r>
          <w:rPr>
            <w:rStyle w:val="a4"/>
          </w:rPr>
          <w:t>подпункте 2.2.1</w:t>
        </w:r>
      </w:hyperlink>
      <w:r>
        <w:t xml:space="preserve"> настоящего пункта, а также иные государственные и муниципальные организации и учреж</w:t>
      </w:r>
      <w:r>
        <w:t>дения.</w:t>
      </w:r>
    </w:p>
    <w:p w:rsidR="00000000" w:rsidRDefault="004B287C">
      <w:bookmarkStart w:id="48" w:name="sub_23"/>
      <w:bookmarkEnd w:id="47"/>
      <w:r>
        <w:t xml:space="preserve">2.3. Проектами может предусматриваться при необходимости реализация мероприятий, включенных в проектную документацию по объекту, но не предусмотренных </w:t>
      </w:r>
      <w:hyperlink w:anchor="sub_22" w:history="1">
        <w:r>
          <w:rPr>
            <w:rStyle w:val="a4"/>
          </w:rPr>
          <w:t>пунктом 2.2</w:t>
        </w:r>
      </w:hyperlink>
      <w:r>
        <w:t xml:space="preserve"> настоящего Порядка, без которых реализация прое</w:t>
      </w:r>
      <w:r>
        <w:t>кта, в том числе ввод объекта в эксплуатацию, не представляется возможной, при условии реализации таких дополнительных мероприятий без софинансирования из федерального и республиканского бюджетов, при этом в балльной системе оценки соответствующие объемы в</w:t>
      </w:r>
      <w:r>
        <w:t>небюджетных источников не учитываются.</w:t>
      </w:r>
    </w:p>
    <w:p w:rsidR="00000000" w:rsidRDefault="004B287C">
      <w:bookmarkStart w:id="49" w:name="sub_231"/>
      <w:bookmarkEnd w:id="48"/>
      <w:r>
        <w:t>Проект, реализация которого осуществляется на территории сельской агломерации, должен состоять из мероприятий, реализация которых осуществляется не менее чем в 30 процентах населенных пунктов, относящихся</w:t>
      </w:r>
      <w:r>
        <w:t xml:space="preserve"> к сельским территориям в составе соответствующей сельской агломерации.</w:t>
      </w:r>
    </w:p>
    <w:p w:rsidR="00000000" w:rsidRDefault="004B287C">
      <w:bookmarkStart w:id="50" w:name="sub_24"/>
      <w:bookmarkEnd w:id="49"/>
      <w:r>
        <w:t xml:space="preserve">2.4. Дублирование предоставления субсидий, предусмотренных настоящим Порядком, с иными мероприятиями государственной поддержки в рамках реализации мероприятий </w:t>
      </w:r>
      <w:hyperlink r:id="rId28" w:history="1">
        <w:r>
          <w:rPr>
            <w:rStyle w:val="a4"/>
          </w:rPr>
          <w:t>Программы</w:t>
        </w:r>
      </w:hyperlink>
      <w:r>
        <w:t>, а также иных государственных программ Карачаево-Черкесской Республики, не допускается.</w:t>
      </w:r>
    </w:p>
    <w:bookmarkEnd w:id="50"/>
    <w:p w:rsidR="00000000" w:rsidRDefault="004B287C"/>
    <w:p w:rsidR="00000000" w:rsidRDefault="004B287C">
      <w:pPr>
        <w:pStyle w:val="1"/>
      </w:pPr>
      <w:bookmarkStart w:id="51" w:name="sub_300"/>
      <w:r>
        <w:t>3. Условия и порядок предоставления субсидий</w:t>
      </w:r>
    </w:p>
    <w:bookmarkEnd w:id="51"/>
    <w:p w:rsidR="00000000" w:rsidRDefault="004B287C"/>
    <w:p w:rsidR="00000000" w:rsidRDefault="004B287C">
      <w:bookmarkStart w:id="52" w:name="sub_31"/>
      <w:r>
        <w:t>3.1. Субсидия предоставл</w:t>
      </w:r>
      <w:r>
        <w:t>яется муниципальным образованиям при соблюдении следующих условий:</w:t>
      </w:r>
    </w:p>
    <w:p w:rsidR="00000000" w:rsidRDefault="004B287C">
      <w:bookmarkStart w:id="53" w:name="sub_311"/>
      <w:bookmarkEnd w:id="52"/>
      <w:r>
        <w:t>3.1.1. Наличие в бюджете муниципального образования (сводной бюджетной росписи местного бюджета) бюджетных ассигнований на исполнение расходных обязат</w:t>
      </w:r>
      <w:r>
        <w:t>ельств муниципального образования, в целях софинансирования которых предоставляется субсидия.</w:t>
      </w:r>
    </w:p>
    <w:p w:rsidR="00000000" w:rsidRDefault="004B287C">
      <w:bookmarkStart w:id="54" w:name="sub_312"/>
      <w:bookmarkEnd w:id="53"/>
      <w:r>
        <w:t>3.1.2. Наличие правового акта муниципального образования, утверждающего перечень мероприятий, в целях софинансирования которых предоставляется субси</w:t>
      </w:r>
      <w:r>
        <w:t>дия.</w:t>
      </w:r>
    </w:p>
    <w:p w:rsidR="00000000" w:rsidRDefault="004B287C">
      <w:bookmarkStart w:id="55" w:name="sub_313"/>
      <w:bookmarkEnd w:id="54"/>
      <w:r>
        <w:t>3.1.3. Включение представленного муниципальным образованием проекта в перечень проектов, прошедших отбор проектов комплексного развития сельских территорий (сельских агломераций).</w:t>
      </w:r>
    </w:p>
    <w:p w:rsidR="00000000" w:rsidRDefault="004B287C">
      <w:bookmarkStart w:id="56" w:name="sub_314"/>
      <w:bookmarkEnd w:id="55"/>
      <w:r>
        <w:t>3.1.4. Заключение органом местного самоупра</w:t>
      </w:r>
      <w:r>
        <w:t>вления муниципального образования и Министерством соглашения о предоставлении субсидии (далее - Соглашение)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</w:t>
      </w:r>
      <w:r>
        <w:t>вержденной Министерством финансов Российской Федерации.</w:t>
      </w:r>
    </w:p>
    <w:p w:rsidR="00000000" w:rsidRDefault="004B287C">
      <w:bookmarkStart w:id="57" w:name="sub_315"/>
      <w:bookmarkEnd w:id="56"/>
      <w:r>
        <w:t>3.1.5. При заключении соглашения администрации муниципальных образований представляют в Министерство следующие документы:</w:t>
      </w:r>
    </w:p>
    <w:p w:rsidR="00000000" w:rsidRDefault="004B287C">
      <w:bookmarkStart w:id="58" w:name="sub_3151"/>
      <w:bookmarkEnd w:id="57"/>
      <w:r>
        <w:t>копию утвержденного правового акта муниципального</w:t>
      </w:r>
      <w:r>
        <w:t xml:space="preserve"> образования, предусматривающего перечень мероприятий, в целях реализации которых предоставляется субсидия;</w:t>
      </w:r>
    </w:p>
    <w:p w:rsidR="00000000" w:rsidRDefault="004B287C">
      <w:bookmarkStart w:id="59" w:name="sub_3152"/>
      <w:bookmarkEnd w:id="58"/>
      <w:r>
        <w:t>выписку из муниципального правового акта, подтверждающую наличие в бюджете муниципального образования бюджетных ассигнований на испо</w:t>
      </w:r>
      <w:r>
        <w:t>лнение расходных обязательств муниципального образования, в целях софинансирования которых предоставляется субсидия.</w:t>
      </w:r>
    </w:p>
    <w:p w:rsidR="00000000" w:rsidRDefault="004B287C">
      <w:bookmarkStart w:id="60" w:name="sub_32"/>
      <w:bookmarkEnd w:id="59"/>
      <w:r>
        <w:t>3.2. В целях повышения эффективности реализации проектов предусматривается исполнение следующих обязательных условий реализац</w:t>
      </w:r>
      <w:r>
        <w:t>ии проектов:</w:t>
      </w:r>
    </w:p>
    <w:p w:rsidR="00000000" w:rsidRDefault="004B287C">
      <w:bookmarkStart w:id="61" w:name="sub_321"/>
      <w:bookmarkEnd w:id="60"/>
      <w:r>
        <w:t xml:space="preserve">3.2.1. Финансовое обеспечение мероприятий, предусмотренных </w:t>
      </w:r>
      <w:hyperlink w:anchor="sub_222" w:history="1">
        <w:r>
          <w:rPr>
            <w:rStyle w:val="a4"/>
          </w:rPr>
          <w:t>подпунктами 2.2.2</w:t>
        </w:r>
      </w:hyperlink>
      <w:r>
        <w:t xml:space="preserve">, </w:t>
      </w:r>
      <w:hyperlink w:anchor="sub_223" w:history="1">
        <w:r>
          <w:rPr>
            <w:rStyle w:val="a4"/>
          </w:rPr>
          <w:t>2.2.3 пункта 2.2</w:t>
        </w:r>
      </w:hyperlink>
      <w:r>
        <w:t xml:space="preserve"> настоящего Порядка, за счет средств из внебюджетных источников в объеме не менее 50 п</w:t>
      </w:r>
      <w:r>
        <w:t>роцентов общей стоимости мероприятия.</w:t>
      </w:r>
    </w:p>
    <w:p w:rsidR="00000000" w:rsidRDefault="004B287C">
      <w:bookmarkStart w:id="62" w:name="sub_322"/>
      <w:bookmarkEnd w:id="61"/>
      <w:r>
        <w:t>3.2.2. Обеспечение организации постоянного (на период реализации мероприятия) онлайн-видеонаблюдения с трансляцией в информационно-телекоммуникационной сети Интернет по каждому объекту капитального строит</w:t>
      </w:r>
      <w:r>
        <w:t>ельства (за исключением линейных объектов капитального строительства), строительство (реконструкция) которого осуществляется в рамках проекта, и направление ссылки для подключения к трансляции в Министерство сельского хозяйства Карачаево-Черкесской Республ</w:t>
      </w:r>
      <w:r>
        <w:t>ики не позднее 30 календарных дней со дня заключения государственного или муниципального контракта на поставку товаров, выполнение работ, оказание услуг для государственных или муниципальных нужд с подрядной организацией.</w:t>
      </w:r>
    </w:p>
    <w:p w:rsidR="00000000" w:rsidRDefault="004B287C">
      <w:bookmarkStart w:id="63" w:name="sub_323"/>
      <w:bookmarkEnd w:id="62"/>
      <w:r>
        <w:t>3.2.3. Обеспечение в</w:t>
      </w:r>
      <w:r>
        <w:t xml:space="preserve">ыполнения муниципальным образованием следующих требований при реализации мероприятий проекта в отношении объектов (зданий) по установленным в </w:t>
      </w:r>
      <w:hyperlink w:anchor="sub_221" w:history="1">
        <w:r>
          <w:rPr>
            <w:rStyle w:val="a4"/>
          </w:rPr>
          <w:t>подпунктах 2.2.1 - 2.2.3 пункта 2.2</w:t>
        </w:r>
      </w:hyperlink>
      <w:r>
        <w:t xml:space="preserve"> настоящего Порядка направлениям (начиная с 2023 года):</w:t>
      </w:r>
    </w:p>
    <w:p w:rsidR="00000000" w:rsidRDefault="004B287C">
      <w:bookmarkStart w:id="64" w:name="sub_3231"/>
      <w:bookmarkEnd w:id="63"/>
      <w:r>
        <w:t>подключение объектов социальной инфраструктуры, строительство (реконструкция) которых осуществляется в рамках проектов, к широкополосному доступу к информационно-телекоммуникационной се</w:t>
      </w:r>
      <w:r>
        <w:t>ти Интернет (с наличием необходимого для функционирования оборудования);</w:t>
      </w:r>
    </w:p>
    <w:p w:rsidR="00000000" w:rsidRDefault="004B287C">
      <w:bookmarkStart w:id="65" w:name="sub_3232"/>
      <w:bookmarkEnd w:id="64"/>
      <w:r>
        <w:t>наличие необходимого количества работников, обладающих соответствующей профессиональной квалификацией, для обеспечения заполнения штатного расписания начиная с первого</w:t>
      </w:r>
      <w:r>
        <w:t xml:space="preserve"> года функционирования объекта социальной инфраструктуры, строительство и укомплектование оборудованием которого осуществляется в рамках проекта;</w:t>
      </w:r>
    </w:p>
    <w:p w:rsidR="00000000" w:rsidRDefault="004B287C">
      <w:bookmarkStart w:id="66" w:name="sub_3233"/>
      <w:bookmarkEnd w:id="65"/>
      <w:r>
        <w:t>организация уличного освещения территории объекта социальной инфраструктуры с применением энер</w:t>
      </w:r>
      <w:r>
        <w:t>госберегающих технологий;</w:t>
      </w:r>
    </w:p>
    <w:p w:rsidR="00000000" w:rsidRDefault="004B287C">
      <w:bookmarkStart w:id="67" w:name="sub_3234"/>
      <w:bookmarkEnd w:id="66"/>
      <w:r>
        <w:t>наличие автомобильной дороги общего пользования, ведущей от сети автомобильных дорог общего пользования к объекту социальной инфраструктуры.</w:t>
      </w:r>
    </w:p>
    <w:p w:rsidR="00000000" w:rsidRDefault="004B287C">
      <w:bookmarkStart w:id="68" w:name="sub_324"/>
      <w:bookmarkEnd w:id="67"/>
      <w:r>
        <w:t>3.2.4. Обеспечение внесения и актуализации сведений о сост</w:t>
      </w:r>
      <w:r>
        <w:t xml:space="preserve">оянии сельских территорий и сельских агломераций, и показателей социально-экономического состояния сельских территорий и агломераций в информационные сервисы Министерства сельского хозяйства Российской Федерации, а также обеспечение контроля за полнотой и </w:t>
      </w:r>
      <w:r>
        <w:t>достоверностью представляемых сведений.</w:t>
      </w:r>
    </w:p>
    <w:p w:rsidR="00000000" w:rsidRDefault="004B287C">
      <w:bookmarkStart w:id="69" w:name="sub_325"/>
      <w:bookmarkEnd w:id="68"/>
      <w:r>
        <w:t>3.2.5. Обеспечение привлечения средств из внебюджетных источников на реализацию мероприятий проекта в объеме, предусмотренном паспортом проекта при направлении его на отбор проектов в Министерство сельс</w:t>
      </w:r>
      <w:r>
        <w:t>кого хозяйства Карачаево-Черкесской Республики.</w:t>
      </w:r>
    </w:p>
    <w:p w:rsidR="00000000" w:rsidRDefault="004B287C">
      <w:bookmarkStart w:id="70" w:name="sub_326"/>
      <w:bookmarkEnd w:id="69"/>
      <w:r>
        <w:t>3.2.6. По мероприятиям, связанным с осуществлением капитальных вложений, - обеспечение заключения государственного (муниципального) контракта на поставку товаров, выполнение работ, оказание услу</w:t>
      </w:r>
      <w:r>
        <w:t>г по каждому мероприятию проекта в срок, не превышающий 3 месяцев со дня заключения соглашения. В случае невозможности заключения государственного (муниципального) контракта на выполнение работ, поставку товаров, оказание услуг по мероприятию проекта в ука</w:t>
      </w:r>
      <w:r>
        <w:t xml:space="preserve">занный срок муниципальное образование может обратиться в Министерство и инициировать внесение изменений в соглашение в части увеличения срока, до которого должен быть заключен государственный (муниципальный) контракт на выполнение работ, поставку товаров, </w:t>
      </w:r>
      <w:r>
        <w:t>оказание услуг по мероприятию проекта, до 6 месяцев со дня заключения соглашения.</w:t>
      </w:r>
    </w:p>
    <w:p w:rsidR="00000000" w:rsidRDefault="004B287C">
      <w:bookmarkStart w:id="71" w:name="sub_327"/>
      <w:bookmarkEnd w:id="70"/>
      <w:r>
        <w:t xml:space="preserve">3.2.7. По мероприятиям, не связанным с осуществлением капитальных вложений, - обеспечение заключения государственных контрактов на поставку товаров, выполнение </w:t>
      </w:r>
      <w:r>
        <w:t xml:space="preserve">работ, оказание услуг, заключаемых от имени Министерства, в случае заключения соглашения до 01 января года предоставления субсидии - не позднее 01 июля года предоставления субсидии, в случае заключения соглашения до 01 августа года предоставления субсидии </w:t>
      </w:r>
      <w:r>
        <w:t>- не позднее 01 октября года предоставления субсидии.</w:t>
      </w:r>
    </w:p>
    <w:p w:rsidR="00000000" w:rsidRDefault="004B287C">
      <w:bookmarkStart w:id="72" w:name="sub_33"/>
      <w:bookmarkEnd w:id="71"/>
      <w:r>
        <w:t>3.3. На основании заявки на финансирование от муниципального образования Министерство формирует реестр муниципальных образований в разрезе мероприятий с указанием сумм, причитающихся к выпл</w:t>
      </w:r>
      <w:r>
        <w:t>ате субсидий (далее - реестр).</w:t>
      </w:r>
    </w:p>
    <w:p w:rsidR="00000000" w:rsidRDefault="004B287C">
      <w:bookmarkStart w:id="73" w:name="sub_34"/>
      <w:bookmarkEnd w:id="72"/>
      <w:r>
        <w:t>3.4. Для перечисления субсидии 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</w:t>
      </w:r>
      <w:r>
        <w:t>арачаево-Черкесской Республики и предоставляет их в Министерство финансов Карачаево-Черкесской Республики.</w:t>
      </w:r>
    </w:p>
    <w:p w:rsidR="00000000" w:rsidRDefault="004B287C">
      <w:bookmarkStart w:id="74" w:name="sub_341"/>
      <w:bookmarkEnd w:id="73"/>
      <w:r>
        <w:t xml:space="preserve">Министерство финансов Карачаево-Черкесской Республики на основании представленных заявок на доведение предельных объемов финансирования </w:t>
      </w:r>
      <w:r>
        <w:t>доводит предельные объемы финансирования на лицевой счет Министерства.</w:t>
      </w:r>
    </w:p>
    <w:p w:rsidR="00000000" w:rsidRDefault="004B287C">
      <w:bookmarkStart w:id="75" w:name="sub_342"/>
      <w:bookmarkEnd w:id="74"/>
      <w:r>
        <w:t xml:space="preserve">После доведения предельных объемов финансирования на лицевой счет, открытый Министерству, как получателю средств республиканского бюджета Карачаево-Черкесской Республики, </w:t>
      </w:r>
      <w:r>
        <w:t>в Управлении Федерального казначейства по Карачаево-Черкесской Республике, Министерство доводит предельные объемы финансирования на лицевые счета, открытые муниципальным образованиям в Управлении Федерального казначейства по Карачаево-Черкесской Республике</w:t>
      </w:r>
      <w:r>
        <w:t>.</w:t>
      </w:r>
    </w:p>
    <w:p w:rsidR="00000000" w:rsidRDefault="004B287C">
      <w:bookmarkStart w:id="76" w:name="sub_35"/>
      <w:bookmarkEnd w:id="75"/>
      <w:r>
        <w:t>3.5. Адресное (пообъектное) распределение субсидий по объектам, включенным в проекты прошедших отбор, устанавливается соглашением.</w:t>
      </w:r>
    </w:p>
    <w:p w:rsidR="00000000" w:rsidRDefault="004B287C">
      <w:bookmarkStart w:id="77" w:name="sub_36"/>
      <w:bookmarkEnd w:id="76"/>
      <w:r>
        <w:t>3.6. Неиспользованный в соответствующем финансовом году остаток субсидии подлежит возврату в респу</w:t>
      </w:r>
      <w:r>
        <w:t>бликанский бюджет в установленном законодательством порядке.</w:t>
      </w:r>
    </w:p>
    <w:p w:rsidR="00000000" w:rsidRDefault="004B287C">
      <w:bookmarkStart w:id="78" w:name="sub_37"/>
      <w:bookmarkEnd w:id="77"/>
      <w:r>
        <w:t xml:space="preserve">3.7. Расходование субсидий осуществляется с соблюдением требований </w:t>
      </w:r>
      <w:hyperlink r:id="rId29" w:history="1">
        <w:r>
          <w:rPr>
            <w:rStyle w:val="a4"/>
          </w:rPr>
          <w:t>законодательства</w:t>
        </w:r>
      </w:hyperlink>
      <w:r>
        <w:t xml:space="preserve"> об осуществлении закупок для </w:t>
      </w:r>
      <w:r>
        <w:t>государственных и муниципальных нужд в соответствии с настоящим Порядком.</w:t>
      </w:r>
    </w:p>
    <w:bookmarkEnd w:id="78"/>
    <w:p w:rsidR="00000000" w:rsidRDefault="004B287C"/>
    <w:p w:rsidR="00000000" w:rsidRDefault="004B287C">
      <w:pPr>
        <w:pStyle w:val="1"/>
      </w:pPr>
      <w:bookmarkStart w:id="79" w:name="sub_400"/>
      <w:r>
        <w:t>4. Порядок отбора проектов</w:t>
      </w:r>
    </w:p>
    <w:bookmarkEnd w:id="79"/>
    <w:p w:rsidR="00000000" w:rsidRDefault="004B287C"/>
    <w:p w:rsidR="00000000" w:rsidRDefault="004B287C">
      <w:bookmarkStart w:id="80" w:name="sub_41"/>
      <w:r>
        <w:t>4.1. Инициаторы направляют свои инициативные предложения в муниципальные образования (городские округа).</w:t>
      </w:r>
    </w:p>
    <w:p w:rsidR="00000000" w:rsidRDefault="004B287C">
      <w:bookmarkStart w:id="81" w:name="sub_42"/>
      <w:bookmarkEnd w:id="80"/>
      <w:r>
        <w:t>4.2. Муниципальные образования (городские округа):</w:t>
      </w:r>
    </w:p>
    <w:p w:rsidR="00000000" w:rsidRDefault="004B287C">
      <w:bookmarkStart w:id="82" w:name="sub_421"/>
      <w:bookmarkEnd w:id="81"/>
      <w:r>
        <w:t>формируют паспорт проекта, который выносится на общественное обсуждение, проводимое в соответствии с законодательством Российской Федерации;</w:t>
      </w:r>
    </w:p>
    <w:p w:rsidR="00000000" w:rsidRDefault="004B287C">
      <w:bookmarkStart w:id="83" w:name="sub_422"/>
      <w:bookmarkEnd w:id="82"/>
      <w:r>
        <w:t>направляют в Министерство документы:</w:t>
      </w:r>
    </w:p>
    <w:p w:rsidR="00000000" w:rsidRDefault="004B287C">
      <w:bookmarkStart w:id="84" w:name="sub_423"/>
      <w:bookmarkEnd w:id="83"/>
      <w:r>
        <w:t xml:space="preserve">предусмотренные </w:t>
      </w:r>
      <w:hyperlink r:id="rId30" w:history="1">
        <w:r>
          <w:rPr>
            <w:rStyle w:val="a4"/>
          </w:rPr>
          <w:t>пунктом 6</w:t>
        </w:r>
      </w:hyperlink>
      <w:r>
        <w:t xml:space="preserve"> (за исключением документа, предусмотренного </w:t>
      </w:r>
      <w:hyperlink r:id="rId31" w:history="1">
        <w:r>
          <w:rPr>
            <w:rStyle w:val="a4"/>
          </w:rPr>
          <w:t>подпунктом "и"</w:t>
        </w:r>
      </w:hyperlink>
      <w:r>
        <w:t xml:space="preserve">) </w:t>
      </w:r>
      <w:hyperlink r:id="rId32" w:history="1">
        <w:r>
          <w:rPr>
            <w:rStyle w:val="a4"/>
          </w:rPr>
          <w:t>Порядка</w:t>
        </w:r>
      </w:hyperlink>
      <w:r>
        <w:t xml:space="preserve"> отбора проектов, утвержденного </w:t>
      </w:r>
      <w:hyperlink r:id="rId33" w:history="1">
        <w:r>
          <w:rPr>
            <w:rStyle w:val="a4"/>
          </w:rPr>
          <w:t>Приказом</w:t>
        </w:r>
      </w:hyperlink>
      <w:r>
        <w:t xml:space="preserve"> N 767;</w:t>
      </w:r>
    </w:p>
    <w:p w:rsidR="00000000" w:rsidRDefault="004B287C">
      <w:bookmarkStart w:id="85" w:name="sub_424"/>
      <w:bookmarkEnd w:id="84"/>
      <w:r>
        <w:t>подтверждающие завершение подготовительных работ,</w:t>
      </w:r>
      <w:r>
        <w:t xml:space="preserve"> связанных с оформлением права собственности или аренды на срок не менее 10 лет на земельный участок, на котором запланирована реализация проекта (в случае если применимо к проекту).</w:t>
      </w:r>
    </w:p>
    <w:p w:rsidR="00000000" w:rsidRDefault="004B287C">
      <w:bookmarkStart w:id="86" w:name="sub_43"/>
      <w:bookmarkEnd w:id="85"/>
      <w:r>
        <w:t>4.3. Министерство на основании документов, представленных му</w:t>
      </w:r>
      <w:r>
        <w:t>ниципальными образованиями (городскими округами), формирует проектную документацию с учетом требований, установленных Порядком отбора проектов для направления на конкурсный отбор в Министерство сельского хозяйства Российской Федерации, включающую в себя:</w:t>
      </w:r>
    </w:p>
    <w:p w:rsidR="00000000" w:rsidRDefault="004B287C">
      <w:bookmarkStart w:id="87" w:name="sub_431"/>
      <w:bookmarkEnd w:id="86"/>
      <w:r>
        <w:t xml:space="preserve">документы, предусмотренные в </w:t>
      </w:r>
      <w:hyperlink w:anchor="sub_42" w:history="1">
        <w:r>
          <w:rPr>
            <w:rStyle w:val="a4"/>
          </w:rPr>
          <w:t>пункте 4.2</w:t>
        </w:r>
      </w:hyperlink>
      <w:r>
        <w:t xml:space="preserve"> настоящего Порядка;</w:t>
      </w:r>
    </w:p>
    <w:p w:rsidR="00000000" w:rsidRDefault="004B287C">
      <w:bookmarkStart w:id="88" w:name="sub_432"/>
      <w:bookmarkEnd w:id="87"/>
      <w:r>
        <w:t xml:space="preserve">гарантийные письма, подтверждающие предусмотренные в проектах объемы бюджетных ассигнований на финансирование проекта из республиканского бюджета </w:t>
      </w:r>
      <w:r>
        <w:t>Карачаево-Черкесской Республики на очередной финансовый год и на плановый период.</w:t>
      </w:r>
    </w:p>
    <w:bookmarkEnd w:id="88"/>
    <w:p w:rsidR="00000000" w:rsidRDefault="004B287C"/>
    <w:p w:rsidR="00000000" w:rsidRDefault="004B287C">
      <w:pPr>
        <w:pStyle w:val="1"/>
      </w:pPr>
      <w:bookmarkStart w:id="89" w:name="sub_500"/>
      <w:r>
        <w:t>5. Результаты использования субсидии</w:t>
      </w:r>
    </w:p>
    <w:bookmarkEnd w:id="89"/>
    <w:p w:rsidR="00000000" w:rsidRDefault="004B287C"/>
    <w:p w:rsidR="00000000" w:rsidRDefault="004B287C">
      <w:bookmarkStart w:id="90" w:name="sub_51"/>
      <w:r>
        <w:t xml:space="preserve">5.1. Результатами использования субсидий на цели, предусмотренные </w:t>
      </w:r>
      <w:hyperlink w:anchor="sub_11" w:history="1">
        <w:r>
          <w:rPr>
            <w:rStyle w:val="a4"/>
          </w:rPr>
          <w:t>пунктом 1.1</w:t>
        </w:r>
      </w:hyperlink>
      <w:r>
        <w:t xml:space="preserve"> настоя</w:t>
      </w:r>
      <w:r>
        <w:t>щего Порядка, являются:</w:t>
      </w:r>
    </w:p>
    <w:p w:rsidR="00000000" w:rsidRDefault="004B287C">
      <w:bookmarkStart w:id="91" w:name="sub_511"/>
      <w:bookmarkEnd w:id="90"/>
      <w:r>
        <w:t>реализованные проекты комплексного развития сельских территорий (агломераций), единиц;</w:t>
      </w:r>
    </w:p>
    <w:p w:rsidR="00000000" w:rsidRDefault="004B287C">
      <w:bookmarkStart w:id="92" w:name="sub_512"/>
      <w:bookmarkEnd w:id="91"/>
      <w:r>
        <w:t>созданные рабочие места (заполнены штатные единицы) в период реализации проектов, отобранных для субсидирования, начин</w:t>
      </w:r>
      <w:r>
        <w:t>ая с отбора 2019 года, единиц.</w:t>
      </w:r>
    </w:p>
    <w:p w:rsidR="00000000" w:rsidRDefault="004B287C">
      <w:bookmarkStart w:id="93" w:name="sub_513"/>
      <w:bookmarkEnd w:id="92"/>
      <w:r>
        <w:t xml:space="preserve">Оценка эффективности использования субсидий осуществляется комиссией Министерства сельского хозяйства Российской Федерации в соответствии с </w:t>
      </w:r>
      <w:hyperlink r:id="rId34" w:history="1">
        <w:r>
          <w:rPr>
            <w:rStyle w:val="a4"/>
          </w:rPr>
          <w:t>Методикой</w:t>
        </w:r>
      </w:hyperlink>
      <w:r>
        <w:t xml:space="preserve"> оценки эффективности реализации проектов комплексного развития сельских территорий или сельских агломераций, утвержденной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</w:t>
      </w:r>
      <w:r>
        <w:t>ой Федерации от 28.12.2021 N 881 "Об утверждении Методики оценки эффективности реализации проектов комплексного развития сельских территорий или сельских агломераций".</w:t>
      </w:r>
    </w:p>
    <w:bookmarkEnd w:id="93"/>
    <w:p w:rsidR="00000000" w:rsidRDefault="004B287C"/>
    <w:p w:rsidR="00000000" w:rsidRDefault="004B287C">
      <w:pPr>
        <w:pStyle w:val="1"/>
      </w:pPr>
      <w:bookmarkStart w:id="94" w:name="sub_600"/>
      <w:r>
        <w:t>6. Сроки и порядок предоставления отчетности об использовании субсидии</w:t>
      </w:r>
    </w:p>
    <w:bookmarkEnd w:id="94"/>
    <w:p w:rsidR="00000000" w:rsidRDefault="004B287C"/>
    <w:p w:rsidR="00000000" w:rsidRDefault="004B287C">
      <w:bookmarkStart w:id="95" w:name="sub_61"/>
      <w:r>
        <w:t>6.1. Муниципальные образования представляют в Министерство отчеты об использовании субсидии, а также отчеты о достижении результата использования субсидии по формам и в сроки, установленные соглашением.</w:t>
      </w:r>
    </w:p>
    <w:p w:rsidR="00000000" w:rsidRDefault="004B287C">
      <w:bookmarkStart w:id="96" w:name="sub_62"/>
      <w:bookmarkEnd w:id="95"/>
      <w:r>
        <w:t>6.2. В целях проведения оценк</w:t>
      </w:r>
      <w:r>
        <w:t>и эффективности использования субсидии, предоставляемой из федерального бюджета, муниципальное образование предоставляет в Министерство отчетные сведения по формам, аналогичным формам, определенным Министерством сельского хозяйства Российской Федерации в с</w:t>
      </w:r>
      <w:r>
        <w:t>оответствии с утвержденной методикой, в сроки, указанные в соглашении.</w:t>
      </w:r>
    </w:p>
    <w:p w:rsidR="00000000" w:rsidRDefault="004B287C">
      <w:bookmarkStart w:id="97" w:name="sub_63"/>
      <w:bookmarkEnd w:id="96"/>
      <w:r>
        <w:t>6.3. Ответственность за достоверность предоставляемых в Министерство сведений и соблюдение условий, предусмотренных настоящим Порядком, и соглашением возлагается на муниципа</w:t>
      </w:r>
      <w:r>
        <w:t>льное образование.</w:t>
      </w:r>
    </w:p>
    <w:bookmarkEnd w:id="97"/>
    <w:p w:rsidR="00000000" w:rsidRDefault="004B287C"/>
    <w:p w:rsidR="00000000" w:rsidRDefault="004B287C">
      <w:pPr>
        <w:pStyle w:val="1"/>
      </w:pPr>
      <w:bookmarkStart w:id="98" w:name="sub_700"/>
      <w:r>
        <w:t>7. Требования об осуществлении контроля за соблюдением целей, условий и порядка предоставления субсидии и ответственности за их несоблюдение</w:t>
      </w:r>
    </w:p>
    <w:bookmarkEnd w:id="98"/>
    <w:p w:rsidR="00000000" w:rsidRDefault="004B287C"/>
    <w:p w:rsidR="00000000" w:rsidRDefault="004B287C">
      <w:bookmarkStart w:id="99" w:name="sub_71"/>
      <w:r>
        <w:t>7.1. Министерство и (или) органы государственного финансового контро</w:t>
      </w:r>
      <w:r>
        <w:t>ля в соответствии с установленными полномочиями осуществляют обязательную проверку соблюдение условий, целей и порядка предоставления субсидии муниципальным образованием.</w:t>
      </w:r>
    </w:p>
    <w:p w:rsidR="00000000" w:rsidRDefault="004B287C">
      <w:bookmarkStart w:id="100" w:name="sub_72"/>
      <w:bookmarkEnd w:id="99"/>
      <w:r>
        <w:t>7.2. В случае если муниципальным образованием допущены нарушения обязател</w:t>
      </w:r>
      <w:r>
        <w:t>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софинансирования которого предоставляется субсидия, и (или) по достижении значения ре</w:t>
      </w:r>
      <w:r>
        <w:t xml:space="preserve">зультата использования субсидии, средства субсидии, предоставленной за счет средств федерального бюджета, подлежат возврату в порядке и на аналогичных условиях, установленных </w:t>
      </w:r>
      <w:hyperlink r:id="rId36" w:history="1">
        <w:r>
          <w:rPr>
            <w:rStyle w:val="a4"/>
          </w:rPr>
          <w:t>государстве</w:t>
        </w:r>
        <w:r>
          <w:rPr>
            <w:rStyle w:val="a4"/>
          </w:rPr>
          <w:t>нной программой</w:t>
        </w:r>
      </w:hyperlink>
      <w:r>
        <w:t xml:space="preserve"> "Комплексное развитие сельских территорий", утвержденных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31.05.2019 N 696 "Об утверждении государственной программ</w:t>
      </w:r>
      <w:r>
        <w:t>ы Российской Федерации "Комплексное развитие сельских территорий" и о внесении изменений в некоторые акты Правительства Российской Федерации".</w:t>
      </w:r>
    </w:p>
    <w:p w:rsidR="00000000" w:rsidRDefault="004B287C">
      <w:bookmarkStart w:id="101" w:name="sub_73"/>
      <w:bookmarkEnd w:id="100"/>
      <w:r>
        <w:t>7.3. В случае нецелевого использования субсидии муниципальным образованием к нему применяются бюджетн</w:t>
      </w:r>
      <w:r>
        <w:t xml:space="preserve">ые меры принуждения, предусмотренные </w:t>
      </w:r>
      <w:hyperlink r:id="rId3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101"/>
    <w:p w:rsidR="00000000" w:rsidRDefault="004B287C"/>
    <w:sectPr w:rsidR="00000000">
      <w:headerReference w:type="default" r:id="rId39"/>
      <w:footerReference w:type="default" r:id="rId4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287C">
      <w:r>
        <w:separator/>
      </w:r>
    </w:p>
  </w:endnote>
  <w:endnote w:type="continuationSeparator" w:id="0">
    <w:p w:rsidR="00000000" w:rsidRDefault="004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B28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28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28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287C">
      <w:r>
        <w:separator/>
      </w:r>
    </w:p>
  </w:footnote>
  <w:footnote w:type="continuationSeparator" w:id="0">
    <w:p w:rsidR="00000000" w:rsidRDefault="004B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287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Карачаево-Черкесской Республики от 30 марта 2020 г. N 76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C"/>
    <w:rsid w:val="004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260516/1000" TargetMode="External"/><Relationship Id="rId13" Type="http://schemas.openxmlformats.org/officeDocument/2006/relationships/hyperlink" Target="https://internet.garant.ru/document/redirect/30917620/1000" TargetMode="External"/><Relationship Id="rId18" Type="http://schemas.openxmlformats.org/officeDocument/2006/relationships/hyperlink" Target="https://internet.garant.ru/document/redirect/45415638/1000" TargetMode="External"/><Relationship Id="rId26" Type="http://schemas.openxmlformats.org/officeDocument/2006/relationships/hyperlink" Target="https://internet.garant.ru/document/redirect/179957/401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5415638/1000" TargetMode="External"/><Relationship Id="rId34" Type="http://schemas.openxmlformats.org/officeDocument/2006/relationships/hyperlink" Target="https://internet.garant.ru/document/redirect/403722770/100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006589/101" TargetMode="External"/><Relationship Id="rId17" Type="http://schemas.openxmlformats.org/officeDocument/2006/relationships/hyperlink" Target="https://internet.garant.ru/document/redirect/73658156/0" TargetMode="External"/><Relationship Id="rId25" Type="http://schemas.openxmlformats.org/officeDocument/2006/relationships/hyperlink" Target="https://internet.garant.ru/document/redirect/403222910/0" TargetMode="External"/><Relationship Id="rId33" Type="http://schemas.openxmlformats.org/officeDocument/2006/relationships/hyperlink" Target="https://internet.garant.ru/document/redirect/403222910/0" TargetMode="External"/><Relationship Id="rId38" Type="http://schemas.openxmlformats.org/officeDocument/2006/relationships/hyperlink" Target="https://internet.garant.ru/document/redirect/12112604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658156/2000" TargetMode="External"/><Relationship Id="rId20" Type="http://schemas.openxmlformats.org/officeDocument/2006/relationships/hyperlink" Target="https://internet.garant.ru/document/redirect/45415638/1113" TargetMode="External"/><Relationship Id="rId29" Type="http://schemas.openxmlformats.org/officeDocument/2006/relationships/hyperlink" Target="https://internet.garant.ru/document/redirect/70353464/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260516/0" TargetMode="External"/><Relationship Id="rId24" Type="http://schemas.openxmlformats.org/officeDocument/2006/relationships/hyperlink" Target="https://internet.garant.ru/document/redirect/403222910/1000" TargetMode="External"/><Relationship Id="rId32" Type="http://schemas.openxmlformats.org/officeDocument/2006/relationships/hyperlink" Target="https://internet.garant.ru/document/redirect/403222910/1000" TargetMode="External"/><Relationship Id="rId37" Type="http://schemas.openxmlformats.org/officeDocument/2006/relationships/hyperlink" Target="https://internet.garant.ru/document/redirect/72260516/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658156/0" TargetMode="External"/><Relationship Id="rId23" Type="http://schemas.openxmlformats.org/officeDocument/2006/relationships/hyperlink" Target="https://internet.garant.ru/document/redirect/30921921/0" TargetMode="External"/><Relationship Id="rId28" Type="http://schemas.openxmlformats.org/officeDocument/2006/relationships/hyperlink" Target="https://internet.garant.ru/document/redirect/45415638/1000" TargetMode="External"/><Relationship Id="rId36" Type="http://schemas.openxmlformats.org/officeDocument/2006/relationships/hyperlink" Target="https://internet.garant.ru/document/redirect/72260516/1000" TargetMode="External"/><Relationship Id="rId10" Type="http://schemas.openxmlformats.org/officeDocument/2006/relationships/hyperlink" Target="https://internet.garant.ru/document/redirect/72260516/1000" TargetMode="External"/><Relationship Id="rId19" Type="http://schemas.openxmlformats.org/officeDocument/2006/relationships/hyperlink" Target="https://internet.garant.ru/document/redirect/45415638/1113" TargetMode="External"/><Relationship Id="rId31" Type="http://schemas.openxmlformats.org/officeDocument/2006/relationships/hyperlink" Target="https://internet.garant.ru/document/redirect/403222910/1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60516/0" TargetMode="External"/><Relationship Id="rId14" Type="http://schemas.openxmlformats.org/officeDocument/2006/relationships/hyperlink" Target="https://internet.garant.ru/document/redirect/73658156/1000" TargetMode="External"/><Relationship Id="rId22" Type="http://schemas.openxmlformats.org/officeDocument/2006/relationships/hyperlink" Target="https://internet.garant.ru/document/redirect/45415638/0" TargetMode="External"/><Relationship Id="rId27" Type="http://schemas.openxmlformats.org/officeDocument/2006/relationships/hyperlink" Target="https://internet.garant.ru/document/redirect/12138258/4902" TargetMode="External"/><Relationship Id="rId30" Type="http://schemas.openxmlformats.org/officeDocument/2006/relationships/hyperlink" Target="https://internet.garant.ru/document/redirect/403222910/1006" TargetMode="External"/><Relationship Id="rId35" Type="http://schemas.openxmlformats.org/officeDocument/2006/relationships/hyperlink" Target="https://internet.garant.ru/document/redirect/403722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4240</Words>
  <Characters>24169</Characters>
  <Application>Microsoft Office Word</Application>
  <DocSecurity>0</DocSecurity>
  <Lines>201</Lines>
  <Paragraphs>56</Paragraphs>
  <ScaleCrop>false</ScaleCrop>
  <Company>НПП "Гарант-Сервис"</Company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2023-12-20T11:39:00Z</dcterms:created>
  <dcterms:modified xsi:type="dcterms:W3CDTF">2023-12-20T11:39:00Z</dcterms:modified>
</cp:coreProperties>
</file>