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0849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00849">
      <w:pPr>
        <w:suppressAutoHyphens/>
        <w:spacing w:before="75"/>
        <w:ind w:left="170"/>
        <w:jc w:val="both"/>
        <w:rPr>
          <w:i/>
          <w:iCs/>
          <w:color w:val="353842"/>
        </w:rPr>
      </w:pPr>
      <w:r>
        <w:rPr>
          <w:i/>
          <w:iCs/>
          <w:color w:val="353842"/>
        </w:rPr>
        <w:t xml:space="preserve">Наименование изменено с 27 августа 2019 г. - </w:t>
      </w:r>
      <w:hyperlink r:id="rId5" w:history="1">
        <w:r>
          <w:rPr>
            <w:i/>
            <w:iCs/>
            <w:color w:val="106BBE"/>
          </w:rPr>
          <w:t>Постановление</w:t>
        </w:r>
      </w:hyperlink>
      <w:r>
        <w:rPr>
          <w:i/>
          <w:iCs/>
          <w:color w:val="353842"/>
        </w:rPr>
        <w:t xml:space="preserve"> Правительства Карачаево-Черкесской Республики от 27 августа 2019 г. N 213</w:t>
      </w:r>
    </w:p>
    <w:p w:rsidR="00000000" w:rsidRDefault="00D00849">
      <w:pPr>
        <w:suppressAutoHyphens/>
        <w:spacing w:before="75"/>
        <w:ind w:left="170"/>
        <w:jc w:val="both"/>
        <w:rPr>
          <w:i/>
          <w:iCs/>
          <w:color w:val="353842"/>
        </w:rPr>
      </w:pPr>
      <w:hyperlink r:id="rId6" w:history="1">
        <w:r>
          <w:rPr>
            <w:i/>
            <w:iCs/>
            <w:color w:val="106BBE"/>
          </w:rPr>
          <w:t>См. предыдущую редакцию</w:t>
        </w:r>
      </w:hyperlink>
    </w:p>
    <w:p w:rsidR="00000000" w:rsidRDefault="00D0084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 xml:space="preserve">Постановление Правительства Карачаево-Черкесской Республики </w:t>
      </w:r>
      <w:r>
        <w:rPr>
          <w:b/>
          <w:bCs/>
          <w:color w:val="26282F"/>
        </w:rPr>
        <w:br/>
        <w:t xml:space="preserve">от 30 апреля 2019 г. N 124 </w:t>
      </w:r>
      <w:r>
        <w:rPr>
          <w:b/>
          <w:bCs/>
          <w:color w:val="26282F"/>
        </w:rPr>
        <w:br/>
        <w:t>"Об утверждении Порядка предоставления гранта "Агростартап" на создание и развитие крестьянских (фермерских) хозяйств в Карачаево-Черкесской Республике"</w:t>
      </w: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  <w:r>
        <w:t>В соответстви</w:t>
      </w:r>
      <w:r>
        <w:t xml:space="preserve">и с </w:t>
      </w:r>
      <w:hyperlink r:id="rId7" w:history="1">
        <w:r>
          <w:rPr>
            <w:color w:val="106BBE"/>
          </w:rPr>
          <w:t>постановлением</w:t>
        </w:r>
      </w:hyperlink>
      <w:r>
        <w:t xml:space="preserve"> Правительства Российской Федерации от 20.04.2019 N 476 "Об утверждении правил предоставления и распределения иных межбюджетных трансферов из федерального бюджета бюджетам субъектов Российской Федерации</w:t>
      </w:r>
      <w:r>
        <w:t xml:space="preserve"> на создание системы поддержки фермеров и развитие сельской кооперации" Правительство Карачаево-Черкесской Республики постановляет:</w:t>
      </w:r>
    </w:p>
    <w:p w:rsidR="00000000" w:rsidRDefault="00D00849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00849">
      <w:pPr>
        <w:suppressAutoHyphens/>
        <w:spacing w:before="75"/>
        <w:ind w:left="170"/>
        <w:jc w:val="both"/>
        <w:rPr>
          <w:color w:val="353842"/>
        </w:rPr>
      </w:pPr>
      <w:r>
        <w:rPr>
          <w:color w:val="353842"/>
        </w:rPr>
        <w:t>По-видимому, в тексте предыдущего абзаца допущена опечатка. Слова "межбюджетных трансферов" следует читать: "межбюдж</w:t>
      </w:r>
      <w:r>
        <w:rPr>
          <w:color w:val="353842"/>
        </w:rPr>
        <w:t>етных трансфертов"</w:t>
      </w:r>
    </w:p>
    <w:p w:rsidR="00000000" w:rsidRDefault="00D00849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00849">
      <w:pPr>
        <w:suppressAutoHyphens/>
        <w:spacing w:before="75"/>
        <w:ind w:left="170"/>
        <w:jc w:val="both"/>
        <w:rPr>
          <w:i/>
          <w:iCs/>
          <w:color w:val="353842"/>
        </w:rPr>
      </w:pPr>
      <w:r>
        <w:rPr>
          <w:i/>
          <w:iCs/>
          <w:color w:val="353842"/>
        </w:rPr>
        <w:t xml:space="preserve">Пункт 1 изменен с 27 августа 2019 г. - </w:t>
      </w:r>
      <w:hyperlink r:id="rId8" w:history="1">
        <w:r>
          <w:rPr>
            <w:i/>
            <w:iCs/>
            <w:color w:val="106BBE"/>
          </w:rPr>
          <w:t>Постановление</w:t>
        </w:r>
      </w:hyperlink>
      <w:r>
        <w:rPr>
          <w:i/>
          <w:iCs/>
          <w:color w:val="353842"/>
        </w:rPr>
        <w:t xml:space="preserve"> Правительства Карачаево-Черкесской Республики от 27 августа 2019 г. N 213</w:t>
      </w:r>
    </w:p>
    <w:p w:rsidR="00000000" w:rsidRDefault="00D00849">
      <w:pPr>
        <w:suppressAutoHyphens/>
        <w:spacing w:before="75"/>
        <w:ind w:left="170"/>
        <w:jc w:val="both"/>
        <w:rPr>
          <w:i/>
          <w:iCs/>
          <w:color w:val="353842"/>
        </w:rPr>
      </w:pPr>
      <w:hyperlink r:id="rId9" w:history="1">
        <w:r>
          <w:rPr>
            <w:i/>
            <w:iCs/>
            <w:color w:val="106BBE"/>
          </w:rPr>
          <w:t xml:space="preserve">См. предыдущую </w:t>
        </w:r>
        <w:r>
          <w:rPr>
            <w:i/>
            <w:iCs/>
            <w:color w:val="106BBE"/>
          </w:rPr>
          <w:t>редакцию</w:t>
        </w:r>
      </w:hyperlink>
    </w:p>
    <w:p w:rsidR="00000000" w:rsidRDefault="00D00849">
      <w:pPr>
        <w:suppressAutoHyphens/>
        <w:ind w:firstLine="720"/>
        <w:jc w:val="both"/>
      </w:pPr>
      <w:r>
        <w:t xml:space="preserve">1. Утвердить Порядок предоставления гранта "Агростартап" на создание и развитие крестьянских (фермерских) хозяйств в Карачаево-Черкесской Республике согласно </w:t>
      </w:r>
      <w:hyperlink r:id="rId10" w:history="1">
        <w:r>
          <w:rPr>
            <w:color w:val="106BBE"/>
          </w:rPr>
          <w:t>приложению</w:t>
        </w:r>
      </w:hyperlink>
      <w:r>
        <w:t>.</w:t>
      </w:r>
    </w:p>
    <w:p w:rsidR="00000000" w:rsidRDefault="00D00849">
      <w:pPr>
        <w:suppressAutoHyphens/>
        <w:ind w:firstLine="720"/>
        <w:jc w:val="both"/>
      </w:pPr>
      <w:r>
        <w:t>2. Контроль за выполнением настоящего постанов</w:t>
      </w:r>
      <w:r>
        <w:t>ления возложить на Первого заместителя Председателя Правительства Карачаево-Черкесской Республики.</w:t>
      </w:r>
    </w:p>
    <w:p w:rsidR="00000000" w:rsidRDefault="00D00849">
      <w:pPr>
        <w:suppressAutoHyphens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0849">
            <w:pPr>
              <w:suppressAutoHyphens/>
            </w:pPr>
            <w:r>
              <w:t>Председатель Правительства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0849">
            <w:pPr>
              <w:suppressAutoHyphens/>
              <w:jc w:val="right"/>
            </w:pPr>
            <w:r>
              <w:t>А.А. Озов</w:t>
            </w:r>
          </w:p>
        </w:tc>
      </w:tr>
    </w:tbl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00849">
      <w:pPr>
        <w:suppressAutoHyphens/>
        <w:spacing w:before="75"/>
        <w:ind w:left="170"/>
        <w:jc w:val="both"/>
        <w:rPr>
          <w:i/>
          <w:iCs/>
          <w:color w:val="353842"/>
        </w:rPr>
      </w:pPr>
      <w:r>
        <w:rPr>
          <w:i/>
          <w:iCs/>
          <w:color w:val="353842"/>
        </w:rPr>
        <w:t xml:space="preserve">Приложение изменено с 27 августа 2019 г. - </w:t>
      </w:r>
      <w:hyperlink r:id="rId11" w:history="1">
        <w:r>
          <w:rPr>
            <w:i/>
            <w:iCs/>
            <w:color w:val="106BBE"/>
          </w:rPr>
          <w:t>Постановление</w:t>
        </w:r>
      </w:hyperlink>
      <w:r>
        <w:rPr>
          <w:i/>
          <w:iCs/>
          <w:color w:val="353842"/>
        </w:rPr>
        <w:t xml:space="preserve"> Правительства Карачаево-Черкесской Республики от 27 августа 2019 г. N 213</w:t>
      </w:r>
    </w:p>
    <w:p w:rsidR="00000000" w:rsidRDefault="00D00849">
      <w:pPr>
        <w:suppressAutoHyphens/>
        <w:spacing w:before="75"/>
        <w:ind w:left="170"/>
        <w:jc w:val="both"/>
        <w:rPr>
          <w:i/>
          <w:iCs/>
          <w:color w:val="353842"/>
        </w:rPr>
      </w:pPr>
      <w:hyperlink r:id="rId12" w:history="1">
        <w:r>
          <w:rPr>
            <w:i/>
            <w:iCs/>
            <w:color w:val="106BBE"/>
          </w:rPr>
          <w:t>См. предыдущую редакцию</w:t>
        </w:r>
      </w:hyperlink>
    </w:p>
    <w:p w:rsidR="00000000" w:rsidRDefault="00D00849">
      <w:pPr>
        <w:suppressAutoHyphens/>
        <w:ind w:firstLine="698"/>
        <w:jc w:val="right"/>
        <w:rPr>
          <w:b/>
          <w:bCs/>
        </w:rPr>
      </w:pPr>
      <w:r>
        <w:rPr>
          <w:b/>
          <w:bCs/>
          <w:color w:val="26282F"/>
        </w:rPr>
        <w:t xml:space="preserve">Приложение к </w:t>
      </w:r>
      <w:hyperlink r:id="rId13" w:history="1">
        <w:r>
          <w:rPr>
            <w:color w:val="106BBE"/>
          </w:rPr>
          <w:t>постановлению</w:t>
        </w:r>
      </w:hyperlink>
    </w:p>
    <w:p w:rsidR="00000000" w:rsidRDefault="00D00849">
      <w:pPr>
        <w:suppressAutoHyphens/>
        <w:ind w:firstLine="698"/>
        <w:jc w:val="right"/>
      </w:pPr>
      <w:r>
        <w:rPr>
          <w:b/>
          <w:bCs/>
          <w:color w:val="26282F"/>
        </w:rPr>
        <w:t>Правительства Кар</w:t>
      </w:r>
      <w:r>
        <w:rPr>
          <w:b/>
          <w:bCs/>
          <w:color w:val="26282F"/>
        </w:rPr>
        <w:t>ачаево-Черкесской</w:t>
      </w:r>
    </w:p>
    <w:p w:rsidR="00000000" w:rsidRDefault="00D00849">
      <w:pPr>
        <w:suppressAutoHyphens/>
        <w:ind w:firstLine="698"/>
        <w:jc w:val="right"/>
      </w:pPr>
      <w:r>
        <w:rPr>
          <w:b/>
          <w:bCs/>
          <w:color w:val="26282F"/>
        </w:rPr>
        <w:t>Республики от 30.04.2019 N 124</w:t>
      </w: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 xml:space="preserve">Порядок </w:t>
      </w:r>
      <w:r>
        <w:rPr>
          <w:b/>
          <w:bCs/>
          <w:color w:val="26282F"/>
        </w:rPr>
        <w:br/>
        <w:t>предоставления гранта "Агростартап" на создание и развитие крестьянских (фермерских) хозяйств в Карачаево-Черкесской Республике</w:t>
      </w: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  <w:r>
        <w:lastRenderedPageBreak/>
        <w:t>1. Настоящий Порядок устанавливает условия, цели и порядок предостав</w:t>
      </w:r>
      <w:r>
        <w:t xml:space="preserve">ления из бюджета Карачаево-Черкесской Республики гранта "Агростартап" в рамках реализации регионального проекта "Система поддержки фермеров и развитие сельской кооперации" в соответствии с </w:t>
      </w:r>
      <w:hyperlink r:id="rId14" w:history="1">
        <w:r>
          <w:rPr>
            <w:color w:val="106BBE"/>
          </w:rPr>
          <w:t>постановлением</w:t>
        </w:r>
      </w:hyperlink>
      <w:r>
        <w:t xml:space="preserve"> Правительства Ро</w:t>
      </w:r>
      <w:r>
        <w:t>ссийской Федерации от 20.04.2019 N 476 "Об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</w:t>
      </w:r>
      <w:r>
        <w:t>".</w:t>
      </w:r>
    </w:p>
    <w:p w:rsidR="00000000" w:rsidRDefault="00D00849">
      <w:pPr>
        <w:suppressAutoHyphens/>
        <w:ind w:firstLine="720"/>
        <w:jc w:val="both"/>
      </w:pPr>
      <w:r>
        <w:t>2. Главным распределителем средств бюджета Карачаево-Черкесской Республики, направляемых на предоставление грантов в соответствии с настоящим Порядком, является Министерство сельского хозяйства Карачаево-Черкесской Республики (далее - Министерство).</w:t>
      </w:r>
    </w:p>
    <w:p w:rsidR="00000000" w:rsidRDefault="00D00849">
      <w:pPr>
        <w:suppressAutoHyphens/>
        <w:ind w:firstLine="720"/>
        <w:jc w:val="both"/>
      </w:pPr>
      <w:r>
        <w:t xml:space="preserve">3. </w:t>
      </w:r>
      <w:r>
        <w:t>Для целей реализации настоящего Порядка используются следующие понятия:</w:t>
      </w:r>
    </w:p>
    <w:p w:rsidR="00000000" w:rsidRDefault="00D00849">
      <w:pPr>
        <w:suppressAutoHyphens/>
        <w:ind w:firstLine="720"/>
        <w:jc w:val="both"/>
      </w:pPr>
      <w:r>
        <w:rPr>
          <w:b/>
          <w:bCs/>
          <w:color w:val="26282F"/>
        </w:rPr>
        <w:t>грант "Агростартап"</w:t>
      </w:r>
      <w:r>
        <w:t xml:space="preserve"> - средства, перечисляемые из бюджета Карачаево-Черкесской Республики крестьянскому (фермерскому) хозяйству для софинансирования его затрат, не возмещаемых в рамках </w:t>
      </w:r>
      <w:r>
        <w:t xml:space="preserve">иных направлений государственной поддержки, связанных с реализацией проекта создания и развития крестьянского (фермерского) хозяйства, представляемого в конкурсную комиссию, главой крестьянского (фермерского) хозяйства или гражданином Российской Федерации </w:t>
      </w:r>
      <w:r>
        <w:t xml:space="preserve">(далее - грантополучатель), обязующимся в течение не более 15 календарных дней после объявления его победителем по результатам конкурсного отбора осуществить государственную регистрацию крестьянского (фермерского) хозяйства в органах Федеральной налоговой </w:t>
      </w:r>
      <w:r>
        <w:t>службы;</w:t>
      </w:r>
    </w:p>
    <w:p w:rsidR="00000000" w:rsidRDefault="00D00849">
      <w:pPr>
        <w:suppressAutoHyphens/>
        <w:ind w:firstLine="720"/>
        <w:jc w:val="both"/>
      </w:pPr>
      <w:r>
        <w:rPr>
          <w:b/>
          <w:bCs/>
          <w:color w:val="26282F"/>
        </w:rPr>
        <w:t>"крестьянское (фермерское) хозяйство"</w:t>
      </w:r>
      <w:r>
        <w:t xml:space="preserve"> - крестьянское (фермерское) хозяйство, зарегистрированное на сельской территории Карачаево-Черкесской Республики в текущем финансовом году, отвечающее критериям микропредприятия, установленным </w:t>
      </w:r>
      <w:hyperlink r:id="rId15" w:history="1">
        <w:r>
          <w:rPr>
            <w:color w:val="106BBE"/>
          </w:rPr>
          <w:t>Федеральным законом</w:t>
        </w:r>
      </w:hyperlink>
      <w:r>
        <w:t xml:space="preserve"> от 24.07.2007 N 209-ФЗ "О развитии малого и среднего предпринимательства в Российской Федерации", обязующееся осуществлять деятельность в течение не менее 5 лет со дня получения средств и достигнуть показателей деятел</w:t>
      </w:r>
      <w:r>
        <w:t xml:space="preserve">ьности, предусмотренных проектом создания и развития крестьянского (фермерского) хозяйства, главой которого является гражданин Российской Федерации, который не является или ранее не являлся получателем средств финансовой поддержки, субсидий или грантов на </w:t>
      </w:r>
      <w:r>
        <w:t>организацию начального этапа предпринимательской деятельности, а также гранта на поддержку начинающего фермера;</w:t>
      </w:r>
    </w:p>
    <w:p w:rsidR="00000000" w:rsidRDefault="00D00849">
      <w:pPr>
        <w:suppressAutoHyphens/>
        <w:ind w:firstLine="720"/>
        <w:jc w:val="both"/>
      </w:pPr>
      <w:r>
        <w:rPr>
          <w:b/>
          <w:bCs/>
          <w:color w:val="26282F"/>
        </w:rPr>
        <w:t>"Агростартап"</w:t>
      </w:r>
      <w:r>
        <w:t xml:space="preserve"> - проект создания и развития крестьянского (фермерского) хозяйства;</w:t>
      </w:r>
    </w:p>
    <w:p w:rsidR="00000000" w:rsidRDefault="00D00849">
      <w:pPr>
        <w:suppressAutoHyphens/>
        <w:ind w:firstLine="720"/>
        <w:jc w:val="both"/>
      </w:pPr>
      <w:r>
        <w:rPr>
          <w:b/>
          <w:bCs/>
          <w:color w:val="26282F"/>
        </w:rPr>
        <w:t>"сельские территории"</w:t>
      </w:r>
      <w:r>
        <w:t xml:space="preserve"> - сельские поселения и (или) межселенные</w:t>
      </w:r>
      <w:r>
        <w:t xml:space="preserve">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 (за исключением городских округов, на территории которых находятся административные цент</w:t>
      </w:r>
      <w:r>
        <w:t>ры Карачаево-Черкесской Республики).</w:t>
      </w:r>
    </w:p>
    <w:p w:rsidR="00000000" w:rsidRDefault="00D00849">
      <w:pPr>
        <w:suppressAutoHyphens/>
        <w:ind w:firstLine="720"/>
        <w:jc w:val="both"/>
      </w:pPr>
      <w:r>
        <w:t>Перечень сельских населенных пунктов и рабочих поселков, входящих в состав городских поселений или городских округов Карачаево-Черкесской Республики, на территории которых преобладает деятельность, связанная с производс</w:t>
      </w:r>
      <w:r>
        <w:t>твом и переработкой сельскохозяйственной продукции утверждается приказом Министерства.</w:t>
      </w:r>
    </w:p>
    <w:p w:rsidR="00000000" w:rsidRDefault="00D00849">
      <w:pPr>
        <w:suppressAutoHyphens/>
        <w:ind w:firstLine="720"/>
        <w:jc w:val="both"/>
      </w:pPr>
      <w:r>
        <w:t>4. Грант "Агростартап" (далее - грант) предоставляется:</w:t>
      </w:r>
    </w:p>
    <w:p w:rsidR="00000000" w:rsidRDefault="00D00849">
      <w:pPr>
        <w:suppressAutoHyphens/>
        <w:ind w:firstLine="720"/>
        <w:jc w:val="both"/>
      </w:pPr>
      <w:r>
        <w:lastRenderedPageBreak/>
        <w:t>4.1. На финансовое обеспечение затрат (не возмещаемых в рамках иных мер поддержки) грантополучателей, связанных с</w:t>
      </w:r>
      <w:r>
        <w:t xml:space="preserve"> проектом создания и развития крестьянского (фермерского) хозяйства, предусматривающего использование части средств гранта "Агростартап" в размере, не превышающем 3 млн. рублей, но не более 90 процентов затрат.</w:t>
      </w:r>
    </w:p>
    <w:p w:rsidR="00000000" w:rsidRDefault="00D00849">
      <w:pPr>
        <w:suppressAutoHyphens/>
        <w:ind w:firstLine="720"/>
        <w:jc w:val="both"/>
      </w:pPr>
      <w:r>
        <w:t>4.2. На цели формирования неделимого фонда се</w:t>
      </w:r>
      <w:r>
        <w:t>льскохозяйственного потребительского кооператива, членом которого является грантополучатель, реализующий проект "Агростартап" в размере, не превышающем 4 млн. рублей, но не более 90 процентов затрат.</w:t>
      </w:r>
    </w:p>
    <w:p w:rsidR="00000000" w:rsidRDefault="00D00849">
      <w:pPr>
        <w:suppressAutoHyphens/>
        <w:ind w:firstLine="720"/>
        <w:jc w:val="both"/>
      </w:pPr>
      <w:r>
        <w:t>Размер гранта "Агростартап", предоставляемого грантополу</w:t>
      </w:r>
      <w:r>
        <w:t xml:space="preserve">чателю, определяется республиканской конкурсной комиссией (далее - конкурсная комиссия), создаваемой Министерством сельского хозяйства Карачаево-Черкесской Республики, с учетом собственных средств грантополучателя и его плана расходов, по форме </w:t>
      </w:r>
      <w:hyperlink r:id="rId16" w:history="1">
        <w:r>
          <w:rPr>
            <w:color w:val="106BBE"/>
          </w:rPr>
          <w:t>приложения 1</w:t>
        </w:r>
      </w:hyperlink>
      <w:r>
        <w:t xml:space="preserve"> к настоящему Порядку.</w:t>
      </w:r>
    </w:p>
    <w:p w:rsidR="00000000" w:rsidRDefault="00D00849">
      <w:pPr>
        <w:suppressAutoHyphens/>
        <w:ind w:firstLine="720"/>
        <w:jc w:val="both"/>
      </w:pPr>
      <w:r>
        <w:t xml:space="preserve">В случае если сумма, указанная в плане расходов грантополучателя, превышает сумму гранта "Агростартап", финансовое обеспечение выплаты стоимости проекта в сумме, превышающей размер гранта, осуществляется </w:t>
      </w:r>
      <w:r>
        <w:t>за счет средств грантополучателя. В случае невозможности такого финансового обеспечения, грантополучатель отказывается от гранта "Агростартап".</w:t>
      </w:r>
    </w:p>
    <w:p w:rsidR="00000000" w:rsidRDefault="00D00849">
      <w:pPr>
        <w:suppressAutoHyphens/>
        <w:ind w:firstLine="720"/>
        <w:jc w:val="both"/>
      </w:pPr>
      <w:r>
        <w:t>Срок освоения средств грантовой поддержки составляет не более 18 месяцев с даты получения гранта.</w:t>
      </w:r>
    </w:p>
    <w:p w:rsidR="00000000" w:rsidRDefault="00D00849">
      <w:pPr>
        <w:suppressAutoHyphens/>
        <w:ind w:firstLine="720"/>
        <w:jc w:val="both"/>
      </w:pPr>
      <w:r>
        <w:t>В случае испол</w:t>
      </w:r>
      <w:r>
        <w:t xml:space="preserve">ьзования грантополучателями средств гранта "Агростартап" на цели, не предусмотренные настоящим Порядком, средства, составляющие сумму гранта, подлежат возврату в соответствующий бюджет в соответствии с </w:t>
      </w:r>
      <w:hyperlink r:id="rId17" w:history="1">
        <w:r>
          <w:rPr>
            <w:color w:val="106BBE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00849">
      <w:pPr>
        <w:suppressAutoHyphens/>
        <w:ind w:firstLine="720"/>
        <w:jc w:val="both"/>
      </w:pPr>
      <w:r>
        <w:t xml:space="preserve">5. Целевые направления расходования средств гранта, утвержденные </w:t>
      </w:r>
      <w:hyperlink r:id="rId18" w:history="1">
        <w:r>
          <w:rPr>
            <w:color w:val="106BBE"/>
          </w:rPr>
          <w:t>Приказом</w:t>
        </w:r>
      </w:hyperlink>
      <w:r>
        <w:t xml:space="preserve"> Министерства сельского хозяйства Российской Федерации от 06.05.2019 N 238 "Об утверждении перечней, форм документов, пре</w:t>
      </w:r>
      <w:r>
        <w:t>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</w:t>
      </w:r>
      <w:r>
        <w:t>ьства Российской Федерации от 20 апреля 2019 г. N 476, а также об установлении сроков их представления":</w:t>
      </w:r>
    </w:p>
    <w:p w:rsidR="00000000" w:rsidRDefault="00D00849">
      <w:pPr>
        <w:suppressAutoHyphens/>
        <w:ind w:firstLine="720"/>
        <w:jc w:val="both"/>
      </w:pPr>
      <w:r>
        <w:t xml:space="preserve">5.1. Приобретение земельных участков из земель сельскохозяйственного назначения для осуществления деятельности крестьянского (фермерского) хозяйства с </w:t>
      </w:r>
      <w:r>
        <w:t>целью производства сельскохозяйственной продукции в рамках реализации проекта "Агростартап".</w:t>
      </w:r>
    </w:p>
    <w:p w:rsidR="00000000" w:rsidRDefault="00D00849">
      <w:pPr>
        <w:suppressAutoHyphens/>
        <w:ind w:firstLine="720"/>
        <w:jc w:val="both"/>
      </w:pPr>
      <w:r>
        <w:t>5.2. Разработка проектной сметной документации для строительства или реконструкции производственных и складских зданий, помещений, предназначенных для производства</w:t>
      </w:r>
      <w:r>
        <w:t>, хранения и переработки сельскохозяйственной продукции.</w:t>
      </w:r>
    </w:p>
    <w:p w:rsidR="00000000" w:rsidRDefault="00D00849">
      <w:pPr>
        <w:suppressAutoHyphens/>
        <w:ind w:firstLine="720"/>
        <w:jc w:val="both"/>
      </w:pPr>
      <w:r>
        <w:t>5.3. Приобретение, строительство, ремонт, модернизация и переустройство производственных и складских зданий, помещений, пристроек и сооружений, необходимых для производства, хранения и переработки се</w:t>
      </w:r>
      <w:r>
        <w:t>льскохозяйственной продукции.</w:t>
      </w:r>
    </w:p>
    <w:p w:rsidR="00000000" w:rsidRDefault="00D00849">
      <w:pPr>
        <w:suppressAutoHyphens/>
        <w:ind w:firstLine="720"/>
        <w:jc w:val="both"/>
      </w:pPr>
      <w:r>
        <w:t>5.4.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электрическим, водо-, газо- и тепловым сетям.</w:t>
      </w:r>
    </w:p>
    <w:p w:rsidR="00000000" w:rsidRDefault="00D00849">
      <w:pPr>
        <w:suppressAutoHyphens/>
        <w:ind w:firstLine="720"/>
        <w:jc w:val="both"/>
      </w:pPr>
      <w:r>
        <w:t>5.5.</w:t>
      </w:r>
      <w:r>
        <w:t xml:space="preserve"> Приобретение сельскохозяйственных животных (за исключением свиней), в том числе птицы.</w:t>
      </w:r>
    </w:p>
    <w:p w:rsidR="00000000" w:rsidRDefault="00D00849">
      <w:pPr>
        <w:suppressAutoHyphens/>
        <w:ind w:firstLine="720"/>
        <w:jc w:val="both"/>
      </w:pPr>
      <w:r>
        <w:lastRenderedPageBreak/>
        <w:t>5.6. Приобретение рыбопосадочного материала.</w:t>
      </w:r>
    </w:p>
    <w:p w:rsidR="00000000" w:rsidRDefault="00D00849">
      <w:pPr>
        <w:suppressAutoHyphens/>
        <w:ind w:firstLine="720"/>
        <w:jc w:val="both"/>
      </w:pPr>
      <w:r>
        <w:t>5.7. Приобретение сельскохозяйственной техники, включая прицепное и навесное оборудование, грузового автомобильного транспо</w:t>
      </w:r>
      <w:r>
        <w:t>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</w:t>
      </w:r>
      <w:r>
        <w:t>.</w:t>
      </w:r>
    </w:p>
    <w:p w:rsidR="00000000" w:rsidRDefault="00D00849">
      <w:pPr>
        <w:suppressAutoHyphens/>
        <w:ind w:firstLine="720"/>
        <w:jc w:val="both"/>
      </w:pPr>
      <w:r>
        <w:t>5.8. Приобретение посадочного материала для закладки многолетних насаждений, в том числе виноградников.</w:t>
      </w:r>
    </w:p>
    <w:p w:rsidR="00000000" w:rsidRDefault="00D00849">
      <w:pPr>
        <w:suppressAutoHyphens/>
        <w:ind w:firstLine="720"/>
        <w:jc w:val="both"/>
      </w:pPr>
      <w:r>
        <w:t xml:space="preserve">5.9. Погашение основного долга по кредитам, полученным в российских организациях на цели, указанные в </w:t>
      </w:r>
      <w:hyperlink r:id="rId19" w:history="1">
        <w:r>
          <w:rPr>
            <w:color w:val="106BBE"/>
          </w:rPr>
          <w:t>подпунктах 5.3.</w:t>
        </w:r>
      </w:hyperlink>
      <w:r>
        <w:t xml:space="preserve">, </w:t>
      </w:r>
      <w:hyperlink r:id="rId20" w:history="1">
        <w:r>
          <w:rPr>
            <w:color w:val="106BBE"/>
          </w:rPr>
          <w:t>5.7.</w:t>
        </w:r>
      </w:hyperlink>
      <w:r>
        <w:t xml:space="preserve"> настоящего пункта, период пользования которыми на момент подачи заявки на получение средств из бюджета субъекта Российской Федерации составляет менее двух лет.</w:t>
      </w:r>
    </w:p>
    <w:p w:rsidR="00000000" w:rsidRDefault="00D00849">
      <w:pPr>
        <w:suppressAutoHyphens/>
        <w:ind w:firstLine="720"/>
        <w:jc w:val="both"/>
      </w:pPr>
      <w:r>
        <w:t xml:space="preserve">6. Отбор претендентов на предоставление грантов осуществляется на </w:t>
      </w:r>
      <w:r>
        <w:t>конкурсной основе конкурсной комиссией.</w:t>
      </w:r>
    </w:p>
    <w:p w:rsidR="00000000" w:rsidRDefault="00D00849">
      <w:pPr>
        <w:suppressAutoHyphens/>
        <w:ind w:firstLine="720"/>
        <w:jc w:val="both"/>
      </w:pPr>
      <w:r>
        <w:t>Состав конкурсной комиссии, положение о ней утверждаются приказом Министерства.</w:t>
      </w:r>
    </w:p>
    <w:p w:rsidR="00000000" w:rsidRDefault="00D00849">
      <w:pPr>
        <w:suppressAutoHyphens/>
        <w:ind w:firstLine="720"/>
        <w:jc w:val="both"/>
      </w:pPr>
      <w:r>
        <w:t>Организацию проведения конкурса по отбору претендентов на предоставление грантов осуществляет Министерство.</w:t>
      </w:r>
    </w:p>
    <w:p w:rsidR="00000000" w:rsidRDefault="00D00849">
      <w:pPr>
        <w:suppressAutoHyphens/>
        <w:ind w:firstLine="720"/>
        <w:jc w:val="both"/>
      </w:pPr>
      <w:r>
        <w:t>Извещение о проведении конку</w:t>
      </w:r>
      <w:r>
        <w:t>рса размещается на официальном сайте Министерства (</w:t>
      </w:r>
      <w:hyperlink r:id="rId21" w:history="1">
        <w:r>
          <w:rPr>
            <w:color w:val="0000FF"/>
            <w:u w:val="single"/>
          </w:rPr>
          <w:t>www.mcxkchr.ru</w:t>
        </w:r>
      </w:hyperlink>
      <w:r>
        <w:t>) не позднее, чем за 5 рабочих дней до даты начала приема заявок и документов. Прием документов осуществляется в течение 15 рабочих дней.</w:t>
      </w:r>
    </w:p>
    <w:p w:rsidR="00000000" w:rsidRDefault="00D00849">
      <w:pPr>
        <w:suppressAutoHyphens/>
        <w:ind w:firstLine="720"/>
        <w:jc w:val="both"/>
      </w:pPr>
      <w:r>
        <w:t>Информационное сообщение</w:t>
      </w:r>
      <w:r>
        <w:t xml:space="preserve"> о проведении конкурса должно содержать следующие сведения: условия подачи заявок, место и время приема заявки на участие в конкурсе, перечень документов, необходимых для участия в конкурсе, срок, до истечения которого принимаются заявка и документы, формы</w:t>
      </w:r>
      <w:r>
        <w:t xml:space="preserve"> представляемых документов, адрес, номера контактных телефонов.</w:t>
      </w:r>
    </w:p>
    <w:p w:rsidR="00000000" w:rsidRDefault="00D00849">
      <w:pPr>
        <w:suppressAutoHyphens/>
        <w:ind w:firstLine="720"/>
        <w:jc w:val="both"/>
      </w:pPr>
      <w:r>
        <w:t>Заявка и документы подаются в Министерство не позднее даты, указанной в информационном сообщении о проведении конкурса на официальном сайте Министерства (</w:t>
      </w:r>
      <w:hyperlink r:id="rId22" w:history="1">
        <w:r>
          <w:rPr>
            <w:color w:val="0000FF"/>
            <w:u w:val="single"/>
          </w:rPr>
          <w:t>www.mcxkchr.</w:t>
        </w:r>
        <w:r>
          <w:rPr>
            <w:color w:val="0000FF"/>
            <w:u w:val="single"/>
          </w:rPr>
          <w:t>ru</w:t>
        </w:r>
      </w:hyperlink>
      <w:r>
        <w:t>).</w:t>
      </w:r>
    </w:p>
    <w:p w:rsidR="00000000" w:rsidRDefault="00D00849">
      <w:pPr>
        <w:suppressAutoHyphens/>
        <w:ind w:firstLine="720"/>
        <w:jc w:val="both"/>
      </w:pPr>
      <w:r>
        <w:t>Заявка и документы, представленные на рассмотрение конкурсной комиссии, возврату не подлежат.</w:t>
      </w:r>
    </w:p>
    <w:p w:rsidR="00000000" w:rsidRDefault="00D00849">
      <w:pPr>
        <w:suppressAutoHyphens/>
        <w:ind w:firstLine="720"/>
        <w:jc w:val="both"/>
      </w:pPr>
      <w:r>
        <w:t>7. Заявитель для признания его участником конкурсного отбора должен соответствовать следующим требованиям:</w:t>
      </w:r>
    </w:p>
    <w:p w:rsidR="00000000" w:rsidRDefault="00D00849">
      <w:pPr>
        <w:suppressAutoHyphens/>
        <w:ind w:firstLine="720"/>
        <w:jc w:val="both"/>
      </w:pPr>
      <w:r>
        <w:t>7.1. Заявитель ранее не являлся получателем:</w:t>
      </w:r>
    </w:p>
    <w:p w:rsidR="00000000" w:rsidRDefault="00D00849">
      <w:pPr>
        <w:suppressAutoHyphens/>
        <w:ind w:firstLine="720"/>
        <w:jc w:val="both"/>
      </w:pPr>
      <w:r>
        <w:t>ср</w:t>
      </w:r>
      <w:r>
        <w:t>едств финансовой поддержки, субсидий или грантов на организацию начального этапа предпринимательской деятельности;</w:t>
      </w:r>
    </w:p>
    <w:p w:rsidR="00000000" w:rsidRDefault="00D00849">
      <w:pPr>
        <w:suppressAutoHyphens/>
        <w:ind w:firstLine="720"/>
        <w:jc w:val="both"/>
      </w:pPr>
      <w:r>
        <w:t>гранта на поддержку начинающих фермеров.</w:t>
      </w:r>
    </w:p>
    <w:p w:rsidR="00000000" w:rsidRDefault="00D00849">
      <w:pPr>
        <w:suppressAutoHyphens/>
        <w:ind w:firstLine="720"/>
        <w:jc w:val="both"/>
      </w:pPr>
      <w:r>
        <w:t>7.2. Крестьянское (фермерское) хозяйство, главой которого является заявитель, подпадает под критерии</w:t>
      </w:r>
      <w:r>
        <w:t xml:space="preserve"> микропредприятия, установленные </w:t>
      </w:r>
      <w:hyperlink r:id="rId23" w:history="1">
        <w:r>
          <w:rPr>
            <w:color w:val="106BBE"/>
          </w:rPr>
          <w:t>Федеральным законом</w:t>
        </w:r>
      </w:hyperlink>
      <w:r>
        <w:t xml:space="preserve"> от 24.07.2007 N 209-ФЗ "О развитии малого и среднего предпринимательства в Российской Федерации" и зарегистрировано на сельской территории Карачаево-Черкесской Республ</w:t>
      </w:r>
      <w:r>
        <w:t>ики в текущем финансовом году (для заявителя - главы крестьянского (фермерского) хозяйства).</w:t>
      </w:r>
    </w:p>
    <w:p w:rsidR="00000000" w:rsidRDefault="00D00849">
      <w:pPr>
        <w:suppressAutoHyphens/>
        <w:ind w:firstLine="720"/>
        <w:jc w:val="both"/>
      </w:pPr>
      <w:r>
        <w:t>7.3. Наличие письменного обязательства гражданина Российской Федерации осуществить регистрацию крестьянского (фермерского) хозяйства в органах Федеральной налогово</w:t>
      </w:r>
      <w:r>
        <w:t xml:space="preserve">й службы" в срок не более 15 календарных дней с момента принятия конкурсной комиссией решения о предоставлении ему гранта "Агростартап" </w:t>
      </w:r>
      <w:r>
        <w:lastRenderedPageBreak/>
        <w:t>(для заявителя - гражданина Российской Федерации).</w:t>
      </w:r>
    </w:p>
    <w:p w:rsidR="00000000" w:rsidRDefault="00D00849">
      <w:pPr>
        <w:suppressAutoHyphens/>
        <w:ind w:firstLine="720"/>
        <w:jc w:val="both"/>
      </w:pPr>
      <w:r>
        <w:t>7.4. Заявитель имеет проект "Агростартап", учитывающий планируемые ра</w:t>
      </w:r>
      <w:r>
        <w:t xml:space="preserve">сходы на его реализацию (план расходов) в соответствии с </w:t>
      </w:r>
      <w:hyperlink r:id="rId24" w:history="1">
        <w:r>
          <w:rPr>
            <w:color w:val="106BBE"/>
          </w:rPr>
          <w:t>пунктом 5</w:t>
        </w:r>
      </w:hyperlink>
      <w:r>
        <w:t xml:space="preserve"> настоящего Порядка, ежегодное увеличение объема реализуемой сельскохозяйственной продукции (в стоимостном выражении), создание новых рабочих мест в году получения</w:t>
      </w:r>
      <w:r>
        <w:t xml:space="preserve"> гранта "Агростартап" (при получении гранта государственной поддержки в размере двух и более млн. рублей создать не менее двух новых постоянных рабочих мест (исключая главу крестьянского (фермерского) хозяйства), при получении гранта государственной поддер</w:t>
      </w:r>
      <w:r>
        <w:t>жки до двух млн. рублей создать не менее одного нового постоянного рабочего места (исключая главу крестьянского (фермерского) хозяйства).</w:t>
      </w:r>
    </w:p>
    <w:p w:rsidR="00000000" w:rsidRDefault="00D00849">
      <w:pPr>
        <w:suppressAutoHyphens/>
        <w:ind w:firstLine="720"/>
        <w:jc w:val="both"/>
      </w:pPr>
      <w:r>
        <w:t>7.5. Наличие плана расходов с указанием наименований приобретаемого имущества, выполняемых работ, оказываемых услуг, и</w:t>
      </w:r>
      <w:r>
        <w:t xml:space="preserve">х количества, цены, источников финансирования в соответствии с </w:t>
      </w:r>
      <w:hyperlink r:id="rId25" w:history="1">
        <w:r>
          <w:rPr>
            <w:color w:val="106BBE"/>
          </w:rPr>
          <w:t>пунктом 5</w:t>
        </w:r>
      </w:hyperlink>
      <w:r>
        <w:t xml:space="preserve"> настоящего Порядка.</w:t>
      </w:r>
    </w:p>
    <w:p w:rsidR="00000000" w:rsidRDefault="00D00849">
      <w:pPr>
        <w:suppressAutoHyphens/>
        <w:ind w:firstLine="720"/>
        <w:jc w:val="both"/>
      </w:pPr>
      <w:r>
        <w:t>7.6. Наличие собственных средств не менее 10 процентов стоимости каждого наименования приобретений, указанных в плане расходов.</w:t>
      </w:r>
    </w:p>
    <w:p w:rsidR="00000000" w:rsidRDefault="00D00849">
      <w:pPr>
        <w:suppressAutoHyphens/>
        <w:ind w:firstLine="720"/>
        <w:jc w:val="both"/>
      </w:pPr>
      <w:r>
        <w:t>7.7. Дол</w:t>
      </w:r>
      <w:r>
        <w:t xml:space="preserve">жен являться членом сельскохозяйственного кооператива (для заявителя - претендента на получение гранта на цели указанные в </w:t>
      </w:r>
      <w:hyperlink r:id="rId26" w:history="1">
        <w:r>
          <w:rPr>
            <w:color w:val="106BBE"/>
          </w:rPr>
          <w:t>подпункте 4.2. пункта 4</w:t>
        </w:r>
      </w:hyperlink>
      <w:r>
        <w:t xml:space="preserve"> настоящего Порядка).</w:t>
      </w:r>
    </w:p>
    <w:p w:rsidR="00000000" w:rsidRDefault="00D00849">
      <w:pPr>
        <w:suppressAutoHyphens/>
        <w:ind w:firstLine="720"/>
        <w:jc w:val="both"/>
      </w:pPr>
      <w:r>
        <w:t>7.8. По состоянию на первое число месяца, в котором подается</w:t>
      </w:r>
      <w:r>
        <w:t xml:space="preserve"> заявка:</w:t>
      </w:r>
    </w:p>
    <w:p w:rsidR="00000000" w:rsidRDefault="00D00849">
      <w:pPr>
        <w:suppressAutoHyphens/>
        <w:ind w:firstLine="720"/>
        <w:jc w:val="both"/>
      </w:pPr>
      <w:r>
        <w:t xml:space="preserve">у заявителя 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hyperlink r:id="rId27" w:history="1">
        <w:r>
          <w:rPr>
            <w:color w:val="106BBE"/>
          </w:rPr>
          <w:t>законодательством</w:t>
        </w:r>
      </w:hyperlink>
      <w:r>
        <w:t xml:space="preserve"> Российской Федерации о налогах и с</w:t>
      </w:r>
      <w:r>
        <w:t>борах;</w:t>
      </w:r>
    </w:p>
    <w:p w:rsidR="00000000" w:rsidRDefault="00D00849">
      <w:pPr>
        <w:suppressAutoHyphens/>
        <w:ind w:firstLine="720"/>
        <w:jc w:val="both"/>
      </w:pPr>
      <w:r>
        <w:t>у заявителя отсутствие просроченной задолженности по возврату в республиканский бюджет субсидий, предоставленных, в том числе в соответствии с иными правовыми актами, и иная просроченная задолженность перед республиканским бюджетом;</w:t>
      </w:r>
    </w:p>
    <w:p w:rsidR="00000000" w:rsidRDefault="00D00849">
      <w:pPr>
        <w:suppressAutoHyphens/>
        <w:ind w:firstLine="720"/>
        <w:jc w:val="both"/>
      </w:pPr>
      <w:r>
        <w:t xml:space="preserve">участник отбора </w:t>
      </w:r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</w:t>
      </w:r>
      <w:r>
        <w:t>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</w:t>
      </w:r>
      <w:r>
        <w:t>окупности превышает 50 процентов.</w:t>
      </w:r>
    </w:p>
    <w:p w:rsidR="00000000" w:rsidRDefault="00D00849">
      <w:pPr>
        <w:suppressAutoHyphens/>
        <w:ind w:firstLine="720"/>
        <w:jc w:val="both"/>
      </w:pPr>
      <w:r>
        <w:t xml:space="preserve">8. Для участия в конкурсном отборе "Агростартап" заявитель представляет в Министерство следующие документы, подтверждающие соответствие заявителя требованиям, указанным в </w:t>
      </w:r>
      <w:hyperlink r:id="rId28" w:history="1">
        <w:r>
          <w:rPr>
            <w:color w:val="106BBE"/>
          </w:rPr>
          <w:t>пункте 8</w:t>
        </w:r>
      </w:hyperlink>
      <w:r>
        <w:t xml:space="preserve"> настоящего Поря</w:t>
      </w:r>
      <w:r>
        <w:t>дка:</w:t>
      </w:r>
    </w:p>
    <w:p w:rsidR="00000000" w:rsidRDefault="00D00849">
      <w:pPr>
        <w:suppressAutoHyphens/>
        <w:ind w:firstLine="720"/>
        <w:jc w:val="both"/>
      </w:pPr>
      <w:r>
        <w:t xml:space="preserve">8.1. Заявку на участие в конкурсном отборе с описью документов в двух экземплярах согласно </w:t>
      </w:r>
      <w:hyperlink r:id="rId29" w:history="1">
        <w:r>
          <w:rPr>
            <w:color w:val="106BBE"/>
          </w:rPr>
          <w:t>приложению 2</w:t>
        </w:r>
      </w:hyperlink>
      <w:r>
        <w:t xml:space="preserve"> к настоящему Порядку.</w:t>
      </w:r>
    </w:p>
    <w:p w:rsidR="00000000" w:rsidRDefault="00D00849">
      <w:pPr>
        <w:suppressAutoHyphens/>
        <w:ind w:firstLine="720"/>
        <w:jc w:val="both"/>
      </w:pPr>
      <w:r>
        <w:t>8.2. Копию документа, удостоверяющего личность заявителя.</w:t>
      </w:r>
    </w:p>
    <w:p w:rsidR="00000000" w:rsidRDefault="00D00849">
      <w:pPr>
        <w:suppressAutoHyphens/>
        <w:ind w:firstLine="720"/>
        <w:jc w:val="both"/>
      </w:pPr>
      <w:r>
        <w:t xml:space="preserve">8.3. Проект "Агростартап", учитывающий </w:t>
      </w:r>
      <w:r>
        <w:t xml:space="preserve">планируемые расходы на его реализацию (план расходов) в соответствии с </w:t>
      </w:r>
      <w:hyperlink r:id="rId30" w:history="1">
        <w:r>
          <w:rPr>
            <w:color w:val="106BBE"/>
          </w:rPr>
          <w:t>пунктом 5</w:t>
        </w:r>
      </w:hyperlink>
      <w:r>
        <w:t xml:space="preserve"> настоящего Порядка, ежегодное увеличение объема реализуемой сельскохозяйственной продукции (в стоимостном выражении), создание новых рабочих мест в </w:t>
      </w:r>
      <w:r>
        <w:t xml:space="preserve">соответствии с </w:t>
      </w:r>
      <w:hyperlink r:id="rId31" w:history="1">
        <w:r>
          <w:rPr>
            <w:color w:val="106BBE"/>
          </w:rPr>
          <w:t>пунктом 7.4</w:t>
        </w:r>
      </w:hyperlink>
      <w:r>
        <w:t xml:space="preserve"> настоящего Порядка в году получения гранта "Агростартап", по форме согласно </w:t>
      </w:r>
      <w:hyperlink r:id="rId32" w:history="1">
        <w:r>
          <w:rPr>
            <w:color w:val="106BBE"/>
          </w:rPr>
          <w:t>приложению 3</w:t>
        </w:r>
      </w:hyperlink>
      <w:r>
        <w:t xml:space="preserve"> к настоящему Порядку.</w:t>
      </w:r>
    </w:p>
    <w:p w:rsidR="00000000" w:rsidRDefault="00D00849">
      <w:pPr>
        <w:suppressAutoHyphens/>
        <w:ind w:firstLine="720"/>
        <w:jc w:val="both"/>
      </w:pPr>
      <w:r>
        <w:t>8.4. План расходов с указанием наименований приобретаемого иму</w:t>
      </w:r>
      <w:r>
        <w:t xml:space="preserve">щества, выполняемых работ, оказываемых услуг, их количества, цены, источников </w:t>
      </w:r>
      <w:r>
        <w:lastRenderedPageBreak/>
        <w:t xml:space="preserve">финансирования в соответствии с </w:t>
      </w:r>
      <w:hyperlink r:id="rId33" w:history="1">
        <w:r>
          <w:rPr>
            <w:color w:val="106BBE"/>
          </w:rPr>
          <w:t>пунктом 5</w:t>
        </w:r>
      </w:hyperlink>
      <w:r>
        <w:t xml:space="preserve">, по форме согласно </w:t>
      </w:r>
      <w:hyperlink r:id="rId34" w:history="1">
        <w:r>
          <w:rPr>
            <w:color w:val="106BBE"/>
          </w:rPr>
          <w:t>приложению</w:t>
        </w:r>
      </w:hyperlink>
      <w:r>
        <w:t xml:space="preserve"> к настоящему Порядку.</w:t>
      </w:r>
    </w:p>
    <w:p w:rsidR="00000000" w:rsidRDefault="00D00849">
      <w:pPr>
        <w:suppressAutoHyphens/>
        <w:ind w:firstLine="720"/>
        <w:jc w:val="both"/>
      </w:pPr>
      <w:r>
        <w:t xml:space="preserve">8.5. Обязательство в срок не </w:t>
      </w:r>
      <w:r>
        <w:t>более 15 календарных дней после размещения на официальном сайте Министерства списка победителей конкурсного отбора осуществить государственную регистрацию крестьянского (фермерского) хозяйства в органах Федеральной налоговой службы.</w:t>
      </w:r>
    </w:p>
    <w:p w:rsidR="00000000" w:rsidRDefault="00D00849">
      <w:pPr>
        <w:suppressAutoHyphens/>
        <w:ind w:firstLine="720"/>
        <w:jc w:val="both"/>
      </w:pPr>
      <w:r>
        <w:t>8.6. Выписка с банковск</w:t>
      </w:r>
      <w:r>
        <w:t xml:space="preserve">ого счета заявителя открытого в российской кредитной организации о наличии на данном счете средств в размере не менее 10 процентов стоимости каждого наименования, указанных в плане расходов, заверенная российской кредитной организацией, выданная заявителю </w:t>
      </w:r>
      <w:r>
        <w:t>на дату не ранее чем за 5 календарных дней до даты подачи заявки.</w:t>
      </w:r>
    </w:p>
    <w:p w:rsidR="00000000" w:rsidRDefault="00D00849">
      <w:pPr>
        <w:suppressAutoHyphens/>
        <w:ind w:firstLine="720"/>
        <w:jc w:val="both"/>
      </w:pPr>
      <w:r>
        <w:t xml:space="preserve">8.7. Согласие заявителя на передачу и обработку его персональных данных в соответствии с </w:t>
      </w:r>
      <w:hyperlink r:id="rId35" w:history="1">
        <w:r>
          <w:rPr>
            <w:color w:val="106BBE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00849">
      <w:pPr>
        <w:suppressAutoHyphens/>
        <w:ind w:firstLine="720"/>
        <w:jc w:val="both"/>
      </w:pPr>
      <w:r>
        <w:t>8.8. Сведения, подтвержда</w:t>
      </w:r>
      <w:r>
        <w:t xml:space="preserve">ющие членство заявителя в сельскохозяйственном потребительском кооперативе (для заявителя - претендента на получение гранта на цели, указанные в </w:t>
      </w:r>
      <w:hyperlink r:id="rId36" w:history="1">
        <w:r>
          <w:rPr>
            <w:color w:val="106BBE"/>
          </w:rPr>
          <w:t>подпункте 4.2. пункта 4</w:t>
        </w:r>
      </w:hyperlink>
      <w:r>
        <w:t xml:space="preserve"> настоящего Порядка).</w:t>
      </w:r>
    </w:p>
    <w:p w:rsidR="00000000" w:rsidRDefault="00D00849">
      <w:pPr>
        <w:suppressAutoHyphens/>
        <w:ind w:firstLine="720"/>
        <w:jc w:val="both"/>
      </w:pPr>
      <w:r>
        <w:t>8.9. При подаче заявки заявитель может</w:t>
      </w:r>
      <w:r>
        <w:t xml:space="preserve"> представить дополнительно любые документы, в том числе:</w:t>
      </w:r>
    </w:p>
    <w:p w:rsidR="00000000" w:rsidRDefault="00D00849">
      <w:pPr>
        <w:suppressAutoHyphens/>
        <w:ind w:firstLine="720"/>
        <w:jc w:val="both"/>
      </w:pPr>
      <w:r>
        <w:t>сведения о государственной регистрации права собственности на земельные участки из земель сельскохозяйственного назначения;</w:t>
      </w:r>
    </w:p>
    <w:p w:rsidR="00000000" w:rsidRDefault="00D00849">
      <w:pPr>
        <w:suppressAutoHyphens/>
        <w:ind w:firstLine="720"/>
        <w:jc w:val="both"/>
      </w:pPr>
      <w:r>
        <w:t>копии договоров аренды земельных участков из земель сельскохозяйственного н</w:t>
      </w:r>
      <w:r>
        <w:t>азначения;</w:t>
      </w:r>
    </w:p>
    <w:p w:rsidR="00000000" w:rsidRDefault="00D00849">
      <w:pPr>
        <w:suppressAutoHyphens/>
        <w:ind w:firstLine="720"/>
        <w:jc w:val="both"/>
      </w:pPr>
      <w:r>
        <w:t>выписку из похозяйственной книги, подтверждающую ведение или совместное ведение заявителем личного подсобного хозяйства;</w:t>
      </w:r>
    </w:p>
    <w:p w:rsidR="00000000" w:rsidRDefault="00D00849">
      <w:pPr>
        <w:suppressAutoHyphens/>
        <w:ind w:firstLine="720"/>
        <w:jc w:val="both"/>
      </w:pPr>
      <w:r>
        <w:t>копию документа, подтверждающего наличие у заявителя среднего специального или высшего сельскохозяйственного образования или</w:t>
      </w:r>
      <w:r>
        <w:t xml:space="preserve"> документа, подтверждающего опыт работы заявителя в сфере агропромышленного комплекса.</w:t>
      </w:r>
    </w:p>
    <w:p w:rsidR="00000000" w:rsidRDefault="00D00849">
      <w:pPr>
        <w:suppressAutoHyphens/>
        <w:ind w:firstLine="720"/>
        <w:jc w:val="both"/>
      </w:pPr>
      <w:r>
        <w:t>9. Все копии документов, представленные заявителем в Министерство, заверяются подписью и печатью (при наличии печати) заявителя. При представлении копий документов, сост</w:t>
      </w:r>
      <w:r>
        <w:t>оящих из нескольких листов, заверяется каждый лист.</w:t>
      </w:r>
    </w:p>
    <w:p w:rsidR="00000000" w:rsidRDefault="00D00849">
      <w:pPr>
        <w:suppressAutoHyphens/>
        <w:ind w:firstLine="720"/>
        <w:jc w:val="both"/>
      </w:pPr>
      <w:r>
        <w:t>10. Специалисты Министерства, ответственные за прием и проверку документов определяются приказом Министерства.</w:t>
      </w:r>
    </w:p>
    <w:p w:rsidR="00000000" w:rsidRDefault="00D00849">
      <w:pPr>
        <w:suppressAutoHyphens/>
        <w:ind w:firstLine="720"/>
        <w:jc w:val="both"/>
      </w:pPr>
      <w:r>
        <w:t>11. Представленные заявителем на рассмотрение документы возврату не подлежат.</w:t>
      </w:r>
    </w:p>
    <w:p w:rsidR="00000000" w:rsidRDefault="00D00849">
      <w:pPr>
        <w:suppressAutoHyphens/>
        <w:ind w:firstLine="720"/>
        <w:jc w:val="both"/>
      </w:pPr>
      <w:r>
        <w:t>12. Министерств</w:t>
      </w:r>
      <w:r>
        <w:t>о самостоятельно, в течение 7 рабочих дней со дня поступления заявки, запрашивает в соответствии с законодательством, в том числе в электронной форме с использованием единой системы межведомственного электронного взаимодействия:</w:t>
      </w:r>
    </w:p>
    <w:p w:rsidR="00000000" w:rsidRDefault="00D00849">
      <w:pPr>
        <w:suppressAutoHyphens/>
        <w:ind w:firstLine="720"/>
        <w:jc w:val="both"/>
      </w:pPr>
      <w:r>
        <w:t>в налоговом органе:</w:t>
      </w:r>
    </w:p>
    <w:p w:rsidR="00000000" w:rsidRDefault="00D00849">
      <w:pPr>
        <w:suppressAutoHyphens/>
        <w:ind w:firstLine="720"/>
        <w:jc w:val="both"/>
      </w:pPr>
      <w:hyperlink r:id="rId37" w:history="1">
        <w:r>
          <w:rPr>
            <w:color w:val="106BBE"/>
          </w:rPr>
          <w:t>выписку</w:t>
        </w:r>
      </w:hyperlink>
      <w:r>
        <w:t xml:space="preserve"> из Единого государственного реестра индивидуальных предпринимателей о государственной регистрации заявителя в качестве индивидуального предпринимателя - главы крестьянского (фермерского) хозяйства с указанием адреса м</w:t>
      </w:r>
      <w:r>
        <w:t>еста жительства (пребывания) в Российской Федерации;</w:t>
      </w:r>
    </w:p>
    <w:p w:rsidR="00000000" w:rsidRDefault="00D00849">
      <w:pPr>
        <w:suppressAutoHyphens/>
        <w:ind w:firstLine="720"/>
        <w:jc w:val="both"/>
      </w:pPr>
      <w:hyperlink r:id="rId38" w:history="1">
        <w:r>
          <w:rPr>
            <w:color w:val="106BBE"/>
          </w:rPr>
          <w:t>сведения</w:t>
        </w:r>
      </w:hyperlink>
      <w:r>
        <w:t xml:space="preserve"> об исполнении заявителем обязанности по уплате налогов, сборов, страховых взносов, пеней, штрафов, процентов по состоянию на первое число месяца, в котором</w:t>
      </w:r>
      <w:r>
        <w:t xml:space="preserve"> подается заявка;</w:t>
      </w:r>
    </w:p>
    <w:p w:rsidR="00000000" w:rsidRDefault="00D00849">
      <w:pPr>
        <w:suppressAutoHyphens/>
        <w:ind w:firstLine="720"/>
        <w:jc w:val="both"/>
      </w:pPr>
      <w:r>
        <w:t xml:space="preserve">у уполномоченных органов исполнительной власти республики и органов местного самоуправления сведения о том, что заявитель ранее не являлся получателем средств финансовой поддержки, субсидий или грантов на организацию </w:t>
      </w:r>
      <w:r>
        <w:lastRenderedPageBreak/>
        <w:t>начального этапа пред</w:t>
      </w:r>
      <w:r>
        <w:t>принимательской деятельности.</w:t>
      </w:r>
    </w:p>
    <w:p w:rsidR="00000000" w:rsidRDefault="00D00849">
      <w:pPr>
        <w:suppressAutoHyphens/>
        <w:ind w:firstLine="720"/>
        <w:jc w:val="both"/>
      </w:pPr>
      <w:r>
        <w:t>В случае если запрошенные Министерством документы не поступили в Министерство до даты заседания комиссии, заявка передается на рассмотрение комиссии без них.</w:t>
      </w:r>
    </w:p>
    <w:p w:rsidR="00000000" w:rsidRDefault="00D00849">
      <w:pPr>
        <w:suppressAutoHyphens/>
        <w:ind w:firstLine="720"/>
        <w:jc w:val="both"/>
      </w:pPr>
      <w:r>
        <w:t>13. Документы (копии документов), имеющие явные исправления, подчист</w:t>
      </w:r>
      <w:r>
        <w:t>ки, Министерством к рассмотрению не принимаются.</w:t>
      </w:r>
    </w:p>
    <w:p w:rsidR="00000000" w:rsidRDefault="00D00849">
      <w:pPr>
        <w:suppressAutoHyphens/>
        <w:ind w:firstLine="720"/>
        <w:jc w:val="both"/>
      </w:pPr>
      <w:r>
        <w:t xml:space="preserve">14. Ответственность за достоверность сведений, представленных в заявке и документах, указанных в </w:t>
      </w:r>
      <w:hyperlink r:id="rId39" w:history="1">
        <w:r>
          <w:rPr>
            <w:color w:val="106BBE"/>
          </w:rPr>
          <w:t>пункте 8</w:t>
        </w:r>
      </w:hyperlink>
      <w:r>
        <w:t xml:space="preserve"> настоящего Порядка, несет заявитель.</w:t>
      </w:r>
    </w:p>
    <w:p w:rsidR="00000000" w:rsidRDefault="00D00849">
      <w:pPr>
        <w:suppressAutoHyphens/>
        <w:ind w:firstLine="720"/>
        <w:jc w:val="both"/>
      </w:pPr>
      <w:r>
        <w:t>15. Заявка и копии документов, предст</w:t>
      </w:r>
      <w:r>
        <w:t>авленные в Министерство, регистрируются в журнале регистрации Министерства (который прошит, пронумерован и скреплен печатью Министерства).</w:t>
      </w:r>
    </w:p>
    <w:p w:rsidR="00000000" w:rsidRDefault="00D00849">
      <w:pPr>
        <w:suppressAutoHyphens/>
        <w:ind w:firstLine="720"/>
        <w:jc w:val="both"/>
      </w:pPr>
      <w:r>
        <w:t>16. Основаниями для отказа в допуске к участию в конкурсном отборе являются:</w:t>
      </w:r>
    </w:p>
    <w:p w:rsidR="00000000" w:rsidRDefault="00D00849">
      <w:pPr>
        <w:suppressAutoHyphens/>
        <w:ind w:firstLine="720"/>
        <w:jc w:val="both"/>
      </w:pPr>
      <w:r>
        <w:t>представление документов позже срока, ук</w:t>
      </w:r>
      <w:r>
        <w:t>азанного в извещении о проведении конкурсного отбора;</w:t>
      </w:r>
    </w:p>
    <w:p w:rsidR="00000000" w:rsidRDefault="00D00849">
      <w:pPr>
        <w:suppressAutoHyphens/>
        <w:ind w:firstLine="720"/>
        <w:jc w:val="both"/>
      </w:pPr>
      <w:r>
        <w:t xml:space="preserve">непредставление заявителем документов, предусмотренных </w:t>
      </w:r>
      <w:hyperlink r:id="rId40" w:history="1">
        <w:r>
          <w:rPr>
            <w:color w:val="106BBE"/>
          </w:rPr>
          <w:t>пунктом 8</w:t>
        </w:r>
      </w:hyperlink>
      <w:r>
        <w:t xml:space="preserve"> настоящего Порядка, либо наличие в них недостоверных сведений;</w:t>
      </w:r>
    </w:p>
    <w:p w:rsidR="00000000" w:rsidRDefault="00D00849">
      <w:pPr>
        <w:suppressAutoHyphens/>
        <w:ind w:firstLine="720"/>
        <w:jc w:val="both"/>
      </w:pPr>
      <w:r>
        <w:t>несоответствие заявителя требованиям, установле</w:t>
      </w:r>
      <w:r>
        <w:t xml:space="preserve">нным </w:t>
      </w:r>
      <w:hyperlink r:id="rId41" w:history="1">
        <w:r>
          <w:rPr>
            <w:color w:val="106BBE"/>
          </w:rPr>
          <w:t>пунктом 7</w:t>
        </w:r>
      </w:hyperlink>
      <w:r>
        <w:t xml:space="preserve"> настоящего Порядка;</w:t>
      </w:r>
    </w:p>
    <w:p w:rsidR="00000000" w:rsidRDefault="00D00849">
      <w:pPr>
        <w:suppressAutoHyphens/>
        <w:ind w:firstLine="720"/>
        <w:jc w:val="both"/>
      </w:pPr>
      <w:r>
        <w:t xml:space="preserve">несоответствие заявки и прилагаемых к ней документов установленным к ним требованиям в соответствии с </w:t>
      </w:r>
      <w:hyperlink r:id="rId42" w:history="1">
        <w:r>
          <w:rPr>
            <w:color w:val="106BBE"/>
          </w:rPr>
          <w:t>пунктом 9</w:t>
        </w:r>
      </w:hyperlink>
      <w:r>
        <w:t xml:space="preserve"> настоящего Порядка.</w:t>
      </w:r>
    </w:p>
    <w:p w:rsidR="00000000" w:rsidRDefault="00D00849">
      <w:pPr>
        <w:suppressAutoHyphens/>
        <w:ind w:firstLine="720"/>
        <w:jc w:val="both"/>
      </w:pPr>
      <w:r>
        <w:t xml:space="preserve">17. Решение о допуске документов к </w:t>
      </w:r>
      <w:r>
        <w:t>участию в конкурсном отборе или об отказе в их допуске к участию в конкурсном отборе принимается руководителем Министерства в течение 15 рабочих дней.</w:t>
      </w:r>
    </w:p>
    <w:p w:rsidR="00000000" w:rsidRDefault="00D00849">
      <w:pPr>
        <w:suppressAutoHyphens/>
        <w:ind w:firstLine="720"/>
        <w:jc w:val="both"/>
      </w:pPr>
      <w:r>
        <w:t>18. Министерство в течение 3 рабочих дней со дня принятия решения о допуске документов к участию в конкур</w:t>
      </w:r>
      <w:r>
        <w:t>сном отборе или об отказе в их допуске, письменно уведомляет заявителя о принятом решении.</w:t>
      </w:r>
    </w:p>
    <w:p w:rsidR="00000000" w:rsidRDefault="00D00849">
      <w:pPr>
        <w:suppressAutoHyphens/>
        <w:ind w:firstLine="720"/>
        <w:jc w:val="both"/>
      </w:pPr>
      <w:r>
        <w:t>Заявление и документы заявителя, допущенные к конкурсному отбору, передаются специалистами Министерства, ответственными за прием и проверку документов в конкурсную к</w:t>
      </w:r>
      <w:r>
        <w:t>омиссию.</w:t>
      </w:r>
    </w:p>
    <w:p w:rsidR="00000000" w:rsidRDefault="00D00849">
      <w:pPr>
        <w:suppressAutoHyphens/>
        <w:ind w:firstLine="720"/>
        <w:jc w:val="both"/>
      </w:pPr>
      <w:r>
        <w:t>19. Конкурсная комиссия оценивает допущенные к конкурсному отбору заявки и документы путем расчета среднего балла, включающего значения каждого из критериев оценки участников конкурса, в пределах лимитов бюджетных обязательств, утвержденных Минист</w:t>
      </w:r>
      <w:r>
        <w:t>ерству.</w:t>
      </w:r>
    </w:p>
    <w:p w:rsidR="00000000" w:rsidRDefault="00D00849">
      <w:pPr>
        <w:suppressAutoHyphens/>
        <w:ind w:firstLine="720"/>
        <w:jc w:val="both"/>
      </w:pPr>
      <w:r>
        <w:t>20. В целях определения победителей конкурсного отбора используются критерии конкурсного отбора по балльной шкале оценок, которая отражена в следующей таблице:</w:t>
      </w:r>
    </w:p>
    <w:p w:rsidR="00000000" w:rsidRDefault="00D00849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7595"/>
        <w:gridCol w:w="15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Наименование критерия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Оценка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Ориентация бизнес-плана на приоритетные</w:t>
            </w:r>
            <w:r>
              <w:t xml:space="preserve"> направления сельского хозяйства в Карачаево-Черкесской Республике: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овцеводство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крупный рогатый скот молочного и мясного направления, садоводство, выращивание овощей открытого и закрытого грунта, переработка сельхозпродукции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коневодство, козовод</w:t>
            </w:r>
            <w:r>
              <w:t>ство, пчеловодство, рыбоводство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иные направления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lastRenderedPageBreak/>
              <w:t>2.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Наличие земельного участка (сельскохозяйственного назначения или сельскохозяйственного использования) для ведения сельскохозяйственного производства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3.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В собственности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4.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В аренде не менее тре</w:t>
            </w:r>
            <w:r>
              <w:t>х лет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5.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В аренде менее трех лет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6.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Удельный объем собственных средств в общем объеме приобретений согласно плану расходов: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более 50%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от 20% до 50% включительно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от 10% до 20% невключительно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7.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 xml:space="preserve">Членство главы крестьянского (фермерского) </w:t>
            </w:r>
            <w:r>
              <w:t>хозяйства или гражданина Российской Федерации в сельскохозяйственном потребительском кооперативе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8.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Наличие сельскохозяйственного образования или опыта работы в агропромышленной сфере, или опыта ведения, или совместного ведения личного подсобного хозяйс</w:t>
            </w:r>
            <w:r>
              <w:t>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</w:t>
            </w:r>
          </w:p>
        </w:tc>
      </w:tr>
    </w:tbl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  <w:r>
        <w:t>21. Участники конкурса, набравшие наибольшее количество баллов, признаются победителями конкурса.</w:t>
      </w:r>
    </w:p>
    <w:p w:rsidR="00000000" w:rsidRDefault="00D00849">
      <w:pPr>
        <w:suppressAutoHyphens/>
        <w:ind w:firstLine="720"/>
        <w:jc w:val="both"/>
      </w:pPr>
      <w:r>
        <w:t>В случае равенства значений среднего балла нескольких участников конкурса, победитель определяется исходя из даты подачи заявки на предоставление гран</w:t>
      </w:r>
      <w:r>
        <w:t>та.</w:t>
      </w:r>
    </w:p>
    <w:p w:rsidR="00000000" w:rsidRDefault="00D00849">
      <w:pPr>
        <w:suppressAutoHyphens/>
        <w:ind w:firstLine="720"/>
        <w:jc w:val="both"/>
      </w:pPr>
      <w:r>
        <w:t>Решение конкурсной комиссии о победителях конкурса оформляется протоколом.</w:t>
      </w:r>
    </w:p>
    <w:p w:rsidR="00000000" w:rsidRDefault="00D00849">
      <w:pPr>
        <w:suppressAutoHyphens/>
        <w:ind w:firstLine="720"/>
        <w:jc w:val="both"/>
      </w:pPr>
      <w:r>
        <w:t>В протоколе конкурсной комиссии, помимо информации о победителях конкурса, отражается информация о размерах предоставляемых им грантов. Размер предоставляемого гранта определяет</w:t>
      </w:r>
      <w:r>
        <w:t>ся конкурсной комиссией на основании плана расходов.</w:t>
      </w:r>
    </w:p>
    <w:p w:rsidR="00000000" w:rsidRDefault="00D00849">
      <w:pPr>
        <w:suppressAutoHyphens/>
        <w:ind w:firstLine="720"/>
        <w:jc w:val="both"/>
      </w:pPr>
      <w:r>
        <w:t>Решение о предоставлении гранта принимается Министерством в форме приказа на основании протокола заседания конкурсной комиссии.</w:t>
      </w:r>
    </w:p>
    <w:p w:rsidR="00000000" w:rsidRDefault="00D00849">
      <w:pPr>
        <w:suppressAutoHyphens/>
        <w:ind w:firstLine="720"/>
        <w:jc w:val="both"/>
      </w:pPr>
      <w:r>
        <w:t>22. В течение 3 рабочих дней с даты утверждения протокола председателем кон</w:t>
      </w:r>
      <w:r>
        <w:t>курсной комиссии формируется и размещается на официальном сайте Министерства список победителей конкурсного отбора.</w:t>
      </w:r>
    </w:p>
    <w:p w:rsidR="00000000" w:rsidRDefault="00D00849">
      <w:pPr>
        <w:suppressAutoHyphens/>
        <w:ind w:firstLine="720"/>
        <w:jc w:val="both"/>
      </w:pPr>
      <w:r>
        <w:t>23. В течение 20 рабочих дней с момента принятия решения о предоставлении гранта между Министерством и грантополучателем заключается соглаше</w:t>
      </w:r>
      <w:r>
        <w:t>ние по типовой форме, утвержденной Министерством финансов Карачаево-Черкесской Республики.</w:t>
      </w:r>
    </w:p>
    <w:p w:rsidR="00000000" w:rsidRDefault="00D00849">
      <w:pPr>
        <w:suppressAutoHyphens/>
        <w:ind w:firstLine="720"/>
        <w:jc w:val="both"/>
      </w:pPr>
      <w:r>
        <w:t>24. Обязательными условиями предоставления гранта, включаемыми в Соглашение о предоставлении гранта (далее - соглашение), являются:</w:t>
      </w:r>
    </w:p>
    <w:p w:rsidR="00000000" w:rsidRDefault="00D00849">
      <w:pPr>
        <w:suppressAutoHyphens/>
        <w:ind w:firstLine="720"/>
        <w:jc w:val="both"/>
      </w:pPr>
      <w:r>
        <w:t>целевое назначение и условия пред</w:t>
      </w:r>
      <w:r>
        <w:t>оставления гранта;</w:t>
      </w:r>
    </w:p>
    <w:p w:rsidR="00000000" w:rsidRDefault="00D00849">
      <w:pPr>
        <w:suppressAutoHyphens/>
        <w:ind w:firstLine="720"/>
        <w:jc w:val="both"/>
      </w:pPr>
      <w:r>
        <w:t xml:space="preserve">запрет приобретения грантополучателем за счет полученных средств </w:t>
      </w:r>
      <w:hyperlink r:id="rId43" w:history="1">
        <w:r>
          <w:rPr>
            <w:color w:val="106BBE"/>
          </w:rPr>
          <w:t>иностранной валюты</w:t>
        </w:r>
      </w:hyperlink>
      <w:r>
        <w:t xml:space="preserve">, за исключением операций, осуществляемых в соответствии с </w:t>
      </w:r>
      <w:hyperlink r:id="rId44" w:history="1">
        <w:r>
          <w:rPr>
            <w:color w:val="106BBE"/>
          </w:rPr>
          <w:t>валютным законодательст</w:t>
        </w:r>
        <w:r>
          <w:rPr>
            <w:color w:val="106BBE"/>
          </w:rPr>
          <w:t>вом</w:t>
        </w:r>
      </w:hyperlink>
      <w:r>
        <w:t xml:space="preserve">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</w:t>
      </w:r>
      <w:r>
        <w:t>егулирующими предоставление субсидий;</w:t>
      </w:r>
    </w:p>
    <w:p w:rsidR="00000000" w:rsidRDefault="00D00849">
      <w:pPr>
        <w:suppressAutoHyphens/>
        <w:ind w:firstLine="720"/>
        <w:jc w:val="both"/>
      </w:pPr>
      <w:r>
        <w:t xml:space="preserve">обязательство грантополучателя осуществлять деятельность крестьянского </w:t>
      </w:r>
      <w:r>
        <w:lastRenderedPageBreak/>
        <w:t>(фермерского) хозяйства в течение не менее 5 лет со дня получения гранта;</w:t>
      </w:r>
    </w:p>
    <w:p w:rsidR="00000000" w:rsidRDefault="00D00849">
      <w:pPr>
        <w:suppressAutoHyphens/>
        <w:ind w:firstLine="720"/>
        <w:jc w:val="both"/>
      </w:pPr>
      <w:r>
        <w:t>обязательство грантополучателя по выполнению показателей результативности</w:t>
      </w:r>
      <w:r>
        <w:t xml:space="preserve"> использования гранта, установленных в соглашении в соответствии с настоящим Порядком;</w:t>
      </w:r>
    </w:p>
    <w:p w:rsidR="00000000" w:rsidRDefault="00D00849">
      <w:pPr>
        <w:suppressAutoHyphens/>
        <w:ind w:firstLine="720"/>
        <w:jc w:val="both"/>
      </w:pPr>
      <w:r>
        <w:t>обязательство грантополучателя ежегодно, в течение осуществления деятельности крестьянского (фермерского) хозяйства предоставлять в Министерство отчетность по формам и в</w:t>
      </w:r>
      <w:r>
        <w:t xml:space="preserve"> сроки, установленные в соглашении;</w:t>
      </w:r>
    </w:p>
    <w:p w:rsidR="00000000" w:rsidRDefault="00D00849">
      <w:pPr>
        <w:suppressAutoHyphens/>
        <w:ind w:firstLine="720"/>
        <w:jc w:val="both"/>
      </w:pPr>
      <w:r>
        <w:t>согласие грантополучателя и лиц, являющихся поставщиками (подрядчиками, исполнителями) по договорам, заключенным в целях исполнения обязательств по договорам о предоставлении гранта (за исключением государственных (муниц</w:t>
      </w:r>
      <w:r>
        <w:t>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  <w:r>
        <w:t>), на осуществление Министерством и органами государственного финансового контроля проверок соблюдения получателем гранта и указанными лицами условий, целей и Порядка предоставления грантов;</w:t>
      </w:r>
    </w:p>
    <w:p w:rsidR="00000000" w:rsidRDefault="00D00849">
      <w:pPr>
        <w:suppressAutoHyphens/>
        <w:ind w:firstLine="720"/>
        <w:jc w:val="both"/>
      </w:pPr>
      <w:r>
        <w:t xml:space="preserve">порядок и сроки возврата остатка гранта в республиканский бюджет </w:t>
      </w:r>
      <w:r>
        <w:t>в случае образования неиспользованного по истечению 18 месяцев с момента получения гранта остатка гранта;</w:t>
      </w:r>
    </w:p>
    <w:p w:rsidR="00000000" w:rsidRDefault="00D00849">
      <w:pPr>
        <w:suppressAutoHyphens/>
        <w:ind w:firstLine="720"/>
        <w:jc w:val="both"/>
      </w:pPr>
      <w:r>
        <w:t>порядок и сроки предоставления грантополучателем отчетности по утвержденным Министерством финансов Карачаево-Черкесской Республики формам об осуществл</w:t>
      </w:r>
      <w:r>
        <w:t>ении расходов, источником финансового обеспечения которых является грант;</w:t>
      </w:r>
    </w:p>
    <w:p w:rsidR="00000000" w:rsidRDefault="00D00849">
      <w:pPr>
        <w:suppressAutoHyphens/>
        <w:ind w:firstLine="720"/>
        <w:jc w:val="both"/>
      </w:pPr>
      <w:r>
        <w:t>плановые значения целевых показателей результативности использования гранта;</w:t>
      </w:r>
    </w:p>
    <w:p w:rsidR="00000000" w:rsidRDefault="00D00849">
      <w:pPr>
        <w:suppressAutoHyphens/>
        <w:ind w:firstLine="720"/>
        <w:jc w:val="both"/>
      </w:pPr>
      <w:r>
        <w:t>порядок, сроки и формы представления отчетности о достижении плановых значений целевых показателей резуль</w:t>
      </w:r>
      <w:r>
        <w:t>тативности использования гранта;</w:t>
      </w:r>
    </w:p>
    <w:p w:rsidR="00000000" w:rsidRDefault="00D00849">
      <w:pPr>
        <w:suppressAutoHyphens/>
        <w:ind w:firstLine="720"/>
        <w:jc w:val="both"/>
      </w:pPr>
      <w:r>
        <w:t>порядок открытия и ведения лицевого счета неучастника бюджетного процесса открытого в Управлении Федерального казначейства по Карачаево-Черкесской Республике;</w:t>
      </w:r>
    </w:p>
    <w:p w:rsidR="00000000" w:rsidRDefault="00D00849">
      <w:pPr>
        <w:suppressAutoHyphens/>
        <w:ind w:firstLine="720"/>
        <w:jc w:val="both"/>
      </w:pPr>
      <w:r>
        <w:t>ответственность сторон за нарушение условий и требований соглаше</w:t>
      </w:r>
      <w:r>
        <w:t xml:space="preserve">ния и настоящего Порядка согласно </w:t>
      </w:r>
      <w:hyperlink r:id="rId45" w:history="1">
        <w:r>
          <w:rPr>
            <w:color w:val="106BBE"/>
          </w:rPr>
          <w:t>законодательству</w:t>
        </w:r>
      </w:hyperlink>
      <w:r>
        <w:t>;</w:t>
      </w:r>
    </w:p>
    <w:p w:rsidR="00000000" w:rsidRDefault="00D00849">
      <w:pPr>
        <w:suppressAutoHyphens/>
        <w:ind w:firstLine="720"/>
        <w:jc w:val="both"/>
      </w:pPr>
      <w:r>
        <w:t>порядок и сроки возврата в республиканский бюджет Карачаево-Черкесской Республики средств гранта в случае нарушения условий получения гранта, установленных по результат</w:t>
      </w:r>
      <w:r>
        <w:t>ам проверок фактов нарушения целей предоставления гранта и не достижения значений показателя результативности и использования гранта;</w:t>
      </w:r>
    </w:p>
    <w:p w:rsidR="00000000" w:rsidRDefault="00D00849">
      <w:pPr>
        <w:suppressAutoHyphens/>
        <w:ind w:firstLine="720"/>
        <w:jc w:val="both"/>
      </w:pPr>
      <w:r>
        <w:t>обязательство грантополучателя использовать грант государственной поддержки на создание и развитие крестьянского (фермерск</w:t>
      </w:r>
      <w:r>
        <w:t>ого) хозяйства (далее - средства государственной поддержки) в течение 18 месяцев со дня поступления средств на его лицевой счет, открытый в Управлении Федерального казначейства по Карачаево-Черкесской Республике;</w:t>
      </w:r>
    </w:p>
    <w:p w:rsidR="00000000" w:rsidRDefault="00D00849">
      <w:pPr>
        <w:suppressAutoHyphens/>
        <w:ind w:firstLine="720"/>
        <w:jc w:val="both"/>
      </w:pPr>
      <w:r>
        <w:t>обязательство в году получения гранта:</w:t>
      </w:r>
    </w:p>
    <w:p w:rsidR="00000000" w:rsidRDefault="00D00849">
      <w:pPr>
        <w:suppressAutoHyphens/>
        <w:ind w:firstLine="720"/>
        <w:jc w:val="both"/>
      </w:pPr>
      <w:r>
        <w:t xml:space="preserve">при </w:t>
      </w:r>
      <w:r>
        <w:t>получении гранта государственной поддержки в размере 2 и более млн. рублей создать не менее двух новых постоянных рабочих мест (исключая главу крестьянского (фермерского) хозяйства);</w:t>
      </w:r>
    </w:p>
    <w:p w:rsidR="00000000" w:rsidRDefault="00D00849">
      <w:pPr>
        <w:suppressAutoHyphens/>
        <w:ind w:firstLine="720"/>
        <w:jc w:val="both"/>
      </w:pPr>
      <w:r>
        <w:t>при получении гранта государственной поддержки до 2 млн. рублей создать н</w:t>
      </w:r>
      <w:r>
        <w:t>е менее одного нового постоянного рабочего места (исключая главу крестьянского (фермерского) хозяйства);</w:t>
      </w:r>
    </w:p>
    <w:p w:rsidR="00000000" w:rsidRDefault="00D00849">
      <w:pPr>
        <w:suppressAutoHyphens/>
        <w:ind w:firstLine="720"/>
        <w:jc w:val="both"/>
      </w:pPr>
      <w:r>
        <w:lastRenderedPageBreak/>
        <w:t>внести сведения о принятых в текущем финансовом году работниках в Пенсионный фонд Российской Федерации, Фонд социального страхования Российской Федерац</w:t>
      </w:r>
      <w:r>
        <w:t>ии;</w:t>
      </w:r>
    </w:p>
    <w:p w:rsidR="00000000" w:rsidRDefault="00D00849">
      <w:pPr>
        <w:suppressAutoHyphens/>
        <w:ind w:firstLine="720"/>
        <w:jc w:val="both"/>
      </w:pPr>
      <w:r>
        <w:t>обязательство грантополучателя сохранить созданные новые постоянные рабочие места в течение не менее 5 (пяти) лет;</w:t>
      </w:r>
    </w:p>
    <w:p w:rsidR="00000000" w:rsidRDefault="00D00849">
      <w:pPr>
        <w:suppressAutoHyphens/>
        <w:ind w:firstLine="720"/>
        <w:jc w:val="both"/>
      </w:pPr>
      <w:r>
        <w:t>обязательство грантополучателя использовать имущество, приобретаемое с участием средств гранта на создание и развитие крестьянского (ферм</w:t>
      </w:r>
      <w:r>
        <w:t>ерского) хозяйства, исключительно в целях развития и деятельности крестьянского (фермерского) хозяйства;</w:t>
      </w:r>
    </w:p>
    <w:p w:rsidR="00000000" w:rsidRDefault="00D00849">
      <w:pPr>
        <w:suppressAutoHyphens/>
        <w:ind w:firstLine="720"/>
        <w:jc w:val="both"/>
      </w:pPr>
      <w:r>
        <w:t>обязательство грантополучателя - имущество, приобретенное за счет средств гранта, не продавать, не дарить, не передавать в аренду, не обменивать или вн</w:t>
      </w:r>
      <w:r>
        <w:t xml:space="preserve">осить в виде пая, вклада или отчуждать иным образом в соответствии с </w:t>
      </w:r>
      <w:hyperlink r:id="rId46" w:history="1">
        <w:r>
          <w:rPr>
            <w:color w:val="106BBE"/>
          </w:rPr>
          <w:t>законодательством</w:t>
        </w:r>
      </w:hyperlink>
      <w:r>
        <w:t xml:space="preserve"> Российской Федерации, сохранить его в течение 5 лет со дня получения гранта;</w:t>
      </w:r>
    </w:p>
    <w:p w:rsidR="00000000" w:rsidRDefault="00D00849">
      <w:pPr>
        <w:suppressAutoHyphens/>
        <w:ind w:firstLine="720"/>
        <w:jc w:val="both"/>
      </w:pPr>
      <w:r>
        <w:t>обязательство грантополучателя - в течение 5 рабочих</w:t>
      </w:r>
      <w:r>
        <w:t xml:space="preserve"> дней со дня заключения соглашения представить его в Управление Федерального казначейства по Карачаево-Черкесской Республике для открытия лицевого счета неучастника бюджетного процесса для обеспечения казначейского сопровождения в соответствии с </w:t>
      </w:r>
      <w:hyperlink r:id="rId47" w:history="1">
        <w:r>
          <w:rPr>
            <w:color w:val="106BBE"/>
          </w:rPr>
          <w:t>приказом</w:t>
        </w:r>
      </w:hyperlink>
      <w:r>
        <w:t xml:space="preserve"> Федерального казначейства от 17.10.2016 N 21н "О порядке открытия и ведения лицевых счетов территориальными органами Федерального казначейства" (далее - лицевой счет).</w:t>
      </w:r>
    </w:p>
    <w:p w:rsidR="00000000" w:rsidRDefault="00D00849">
      <w:pPr>
        <w:suppressAutoHyphens/>
        <w:ind w:firstLine="720"/>
        <w:jc w:val="both"/>
      </w:pPr>
      <w:r>
        <w:t>25. На основании приказа Министерства о решении предо</w:t>
      </w:r>
      <w:r>
        <w:t>ставления гранта Министерство формирует и утверждает сводный реестр получателей грантов и письменно уведомляет заявителей о включении или об отказе (с указанием причины отказа) о включении их в указанный реестр. Уведомление об отказе в получении гранта с у</w:t>
      </w:r>
      <w:r>
        <w:t>казанием причин отказа направляется заявителю в течение 30 календарных дней заказным письмом с уведомлением о вручении.</w:t>
      </w:r>
    </w:p>
    <w:p w:rsidR="00000000" w:rsidRDefault="00D00849">
      <w:pPr>
        <w:suppressAutoHyphens/>
        <w:ind w:firstLine="720"/>
        <w:jc w:val="both"/>
      </w:pPr>
      <w:r>
        <w:t>Сводный реестр грантополучателей предоставляется в Министерство финансов Карачаево-Черкесской Республики и в Управление Федерального каз</w:t>
      </w:r>
      <w:r>
        <w:t>начейства по Карачаево-Черкесской Республике.</w:t>
      </w:r>
    </w:p>
    <w:p w:rsidR="00000000" w:rsidRDefault="00D00849">
      <w:pPr>
        <w:suppressAutoHyphens/>
        <w:ind w:firstLine="720"/>
        <w:jc w:val="both"/>
      </w:pPr>
      <w:r>
        <w:t>26. Отказ в предоставлении гранта может быть обжалован в порядке, установленном законодательством Российской Федерации.</w:t>
      </w:r>
    </w:p>
    <w:p w:rsidR="00000000" w:rsidRDefault="00D00849">
      <w:pPr>
        <w:suppressAutoHyphens/>
        <w:ind w:firstLine="720"/>
        <w:jc w:val="both"/>
      </w:pPr>
      <w:r>
        <w:t>27. Министерство по истечению 5 рабочих дней с момента заключения соглашения посредством з</w:t>
      </w:r>
      <w:r>
        <w:t>апросов,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грантополучателя лицевого счета неучастника бюджетного процесса, открытого</w:t>
      </w:r>
      <w:r>
        <w:t xml:space="preserve"> в Управлении Федерального казначейства по Карачаево-Черкесской Республике.</w:t>
      </w:r>
    </w:p>
    <w:p w:rsidR="00000000" w:rsidRDefault="00D00849">
      <w:pPr>
        <w:suppressAutoHyphens/>
        <w:ind w:firstLine="720"/>
        <w:jc w:val="both"/>
      </w:pPr>
      <w:r>
        <w:t>28. В случае получения информации об отсутствии лицевого счета, открытого в Управлении Федерального казначейства по Карачаево-Черкесской Республике, грантополучатель признается отк</w:t>
      </w:r>
      <w:r>
        <w:t>азавшимся от получения гранта, а возможность получения гранта предоставляется следующему заявителю в соответствии с протоколом конкурсной комиссии.</w:t>
      </w:r>
    </w:p>
    <w:p w:rsidR="00000000" w:rsidRDefault="00D00849">
      <w:pPr>
        <w:suppressAutoHyphens/>
        <w:ind w:firstLine="720"/>
        <w:jc w:val="both"/>
      </w:pPr>
      <w:r>
        <w:t>29. Министерство в течение 10 рабочих дней со дня получения информации об открытии грантополучателем лицевог</w:t>
      </w:r>
      <w:r>
        <w:t>о счета оформляет и направляет в Министерство финансов Карачаево-Черкесской Республики заявку на предоставление объемов финансирования и реестр разассигнований в разрезе получателей грантов для перечисления на лицевой счет Министерства в установленном поря</w:t>
      </w:r>
      <w:r>
        <w:t>дке.</w:t>
      </w:r>
    </w:p>
    <w:p w:rsidR="00000000" w:rsidRDefault="00D00849">
      <w:pPr>
        <w:suppressAutoHyphens/>
        <w:ind w:firstLine="720"/>
        <w:jc w:val="both"/>
      </w:pPr>
      <w:r>
        <w:t xml:space="preserve">30. Министерство с момента получения финансирования, в срок не более 5 </w:t>
      </w:r>
      <w:r>
        <w:lastRenderedPageBreak/>
        <w:t>рабочих дней, осуществляет перечисление грантополучателям на лицевые счета причитающиеся суммы гранта за счет средств республиканского бюджета (в том числе за счет средств, источни</w:t>
      </w:r>
      <w:r>
        <w:t>ком финансового обеспечения которых являются субсидии из федерального бюджета).</w:t>
      </w:r>
    </w:p>
    <w:p w:rsidR="00000000" w:rsidRDefault="00D00849">
      <w:pPr>
        <w:suppressAutoHyphens/>
        <w:ind w:firstLine="720"/>
        <w:jc w:val="both"/>
      </w:pPr>
      <w:r>
        <w:t>31. Учет операций со средствами, предоставляемыми в форме гранта, осуществляется на лицевых счетах, открываемых в Управлении Федерального казначейства по Карачаево-Черкесской Р</w:t>
      </w:r>
      <w:r>
        <w:t>еспублике получателями, не являющимися участниками бюджетного процесса, в соответствии с порядком открытия и ведения лицевых счетов, установленными Федеральным казначейством.</w:t>
      </w:r>
    </w:p>
    <w:p w:rsidR="00000000" w:rsidRDefault="00D00849">
      <w:pPr>
        <w:suppressAutoHyphens/>
        <w:ind w:firstLine="720"/>
        <w:jc w:val="both"/>
      </w:pPr>
      <w:r>
        <w:t xml:space="preserve">Операции по списанию средств, отраженных на лицевом счете неучастника бюджетного </w:t>
      </w:r>
      <w:r>
        <w:t>процесса, осуществляются после проведения Управлением Федерального казначейства по Карачаево-Черкесской Республике санкционирования операций в порядке, установленном Министерством финансов Российской Федерации при казначейском сопровождении договоров (согл</w:t>
      </w:r>
      <w:r>
        <w:t>ашений) о предоставлении субсидий из федерального бюджета юридическим лицам в соответствии с планом расходов получателя.</w:t>
      </w:r>
    </w:p>
    <w:p w:rsidR="00000000" w:rsidRDefault="00D00849">
      <w:pPr>
        <w:suppressAutoHyphens/>
        <w:ind w:firstLine="720"/>
        <w:jc w:val="both"/>
      </w:pPr>
      <w:r>
        <w:t>32. Изменение грантополучателем плана расходов и внесение изменений в проект "Агростартап", в том числе в пределах предоставленного гра</w:t>
      </w:r>
      <w:r>
        <w:t>нта, подлежит согласованию с конкурсной комиссией.</w:t>
      </w:r>
    </w:p>
    <w:p w:rsidR="00000000" w:rsidRDefault="00D00849">
      <w:pPr>
        <w:suppressAutoHyphens/>
        <w:ind w:firstLine="720"/>
        <w:jc w:val="both"/>
      </w:pPr>
      <w:r>
        <w:t>При возникновении необходимости изменения плана расходов грантополучатель направляет в Министерство заявление, составленное в произвольной форме, о согласовании нового плана расходов, в котором обосновывае</w:t>
      </w:r>
      <w:r>
        <w:t>т необходимость его изменения, с приложением проекта "Агростартап" и плана расходов, содержащих корректировки в соответствии с планируемыми изменениями.</w:t>
      </w:r>
    </w:p>
    <w:p w:rsidR="00000000" w:rsidRDefault="00D00849">
      <w:pPr>
        <w:suppressAutoHyphens/>
        <w:ind w:firstLine="720"/>
        <w:jc w:val="both"/>
      </w:pPr>
      <w:r>
        <w:t>Заявление грантополучателя об изменении плана расходов, поступившее в конкурсную комиссию, рассматривае</w:t>
      </w:r>
      <w:r>
        <w:t>тся в течение 15 дней со дня регистрации заявления.</w:t>
      </w:r>
    </w:p>
    <w:p w:rsidR="00000000" w:rsidRDefault="00D00849">
      <w:pPr>
        <w:suppressAutoHyphens/>
        <w:ind w:firstLine="720"/>
        <w:jc w:val="both"/>
      </w:pPr>
      <w:r>
        <w:t>Изменения плана расходов не должны менять отраслевое направление деятельности хозяйства.</w:t>
      </w:r>
    </w:p>
    <w:p w:rsidR="00000000" w:rsidRDefault="00D00849">
      <w:pPr>
        <w:suppressAutoHyphens/>
        <w:ind w:firstLine="720"/>
        <w:jc w:val="both"/>
      </w:pPr>
      <w:r>
        <w:t>33. Решение конкурсной комиссии о согласовании изменения плана расходов оформляется протоколом, который подписывает</w:t>
      </w:r>
      <w:r>
        <w:t>ся всеми членами комиссии, присутствующими на заседании конкурсной комиссии.</w:t>
      </w:r>
    </w:p>
    <w:p w:rsidR="00000000" w:rsidRDefault="00D00849">
      <w:pPr>
        <w:suppressAutoHyphens/>
        <w:ind w:firstLine="720"/>
        <w:jc w:val="both"/>
      </w:pPr>
      <w:r>
        <w:t>34. Для подтверждения целевого использования гранта грантополучатели ежеквартально в срок до 10 числа месяца, следующего за отчетным кварталом, представляют в Министерство копии д</w:t>
      </w:r>
      <w:r>
        <w:t>окументов, подтверждающие использование средств, согласно перечню, установленному Министерством.</w:t>
      </w:r>
    </w:p>
    <w:p w:rsidR="00000000" w:rsidRDefault="00D00849">
      <w:pPr>
        <w:suppressAutoHyphens/>
        <w:ind w:firstLine="720"/>
        <w:jc w:val="both"/>
      </w:pPr>
      <w:r>
        <w:t>35. В случае образования у грантополучателя по истечению 18 месяцев с момента получения гранта неиспользованного остатка гранта, грантополучатель обязан в тече</w:t>
      </w:r>
      <w:r>
        <w:t>ние 7 рабочих дней в письменной форме уведомить об этом Министерство.</w:t>
      </w:r>
    </w:p>
    <w:p w:rsidR="00000000" w:rsidRDefault="00D00849">
      <w:pPr>
        <w:suppressAutoHyphens/>
        <w:ind w:firstLine="720"/>
        <w:jc w:val="both"/>
      </w:pPr>
      <w:r>
        <w:t>В течение 10 календарных дней с момента получения от грантополучателя уведомления об образовании неиспользованного остатка гранта Министерство направляет получателю гранта письменное уве</w:t>
      </w:r>
      <w:r>
        <w:t>домление о необходимости возврата неиспользованного остатка гранта (далее - уведомление).</w:t>
      </w:r>
    </w:p>
    <w:p w:rsidR="00000000" w:rsidRDefault="00D00849">
      <w:pPr>
        <w:suppressAutoHyphens/>
        <w:ind w:firstLine="720"/>
        <w:jc w:val="both"/>
      </w:pPr>
      <w:r>
        <w:t>Неиспользованный остаток гранта подлежит перечислению на лицевой счет Министерства в течение 14 календарных дней со дня получения письменного уведомления Министерства</w:t>
      </w:r>
      <w:r>
        <w:t xml:space="preserve"> о необходимости возврата неиспользованного остатка гранта.</w:t>
      </w:r>
    </w:p>
    <w:p w:rsidR="00000000" w:rsidRDefault="00D00849">
      <w:pPr>
        <w:suppressAutoHyphens/>
        <w:ind w:firstLine="720"/>
        <w:jc w:val="both"/>
      </w:pPr>
      <w:r>
        <w:lastRenderedPageBreak/>
        <w:t xml:space="preserve">При отказе грантополучателя от добровольного возврата указанных средств в установленные сроки эти средства взыскиваются в </w:t>
      </w:r>
      <w:hyperlink r:id="rId48" w:history="1">
        <w:r>
          <w:rPr>
            <w:color w:val="106BBE"/>
          </w:rPr>
          <w:t>судебном порядке</w:t>
        </w:r>
      </w:hyperlink>
      <w:r>
        <w:t>.</w:t>
      </w:r>
    </w:p>
    <w:p w:rsidR="00000000" w:rsidRDefault="00D00849">
      <w:pPr>
        <w:suppressAutoHyphens/>
        <w:ind w:firstLine="720"/>
        <w:jc w:val="both"/>
      </w:pPr>
      <w:r>
        <w:t>36. Показателями рез</w:t>
      </w:r>
      <w:r>
        <w:t>ультативности использования гранта "Агростартап" являются:</w:t>
      </w:r>
    </w:p>
    <w:p w:rsidR="00000000" w:rsidRDefault="00D00849">
      <w:pPr>
        <w:suppressAutoHyphens/>
        <w:ind w:firstLine="720"/>
        <w:jc w:val="both"/>
      </w:pPr>
      <w:r>
        <w:t>36.1. Количество работников, зарегистрированных в Пенсионном фонде Российской Федерации, Фонде социального страхования Российской Федерации, в году получения гранта, принятых в рамках реализации "А</w:t>
      </w:r>
      <w:r>
        <w:t>гростартап" (человек) для крестьянского (фермерского) хозяйства, получившего грант в размере:</w:t>
      </w:r>
    </w:p>
    <w:p w:rsidR="00000000" w:rsidRDefault="00D00849">
      <w:pPr>
        <w:suppressAutoHyphens/>
        <w:ind w:firstLine="720"/>
        <w:jc w:val="both"/>
      </w:pPr>
      <w:r>
        <w:t>2 млн. рублей или более - не менее 2 новых постоянных рабочих мест;</w:t>
      </w:r>
    </w:p>
    <w:p w:rsidR="00000000" w:rsidRDefault="00D00849">
      <w:pPr>
        <w:suppressAutoHyphens/>
        <w:ind w:firstLine="720"/>
        <w:jc w:val="both"/>
      </w:pPr>
      <w:r>
        <w:t>менее 2 млн. рублей - не менее 1 нового постоянного рабочего места.</w:t>
      </w:r>
    </w:p>
    <w:p w:rsidR="00000000" w:rsidRDefault="00D00849">
      <w:pPr>
        <w:suppressAutoHyphens/>
        <w:ind w:firstLine="720"/>
        <w:jc w:val="both"/>
      </w:pPr>
      <w:r>
        <w:t>36.2. Ежегодное увеличение</w:t>
      </w:r>
      <w:r>
        <w:t xml:space="preserve"> объема реализуемой сельскохозяйственной продукции.</w:t>
      </w:r>
    </w:p>
    <w:p w:rsidR="00000000" w:rsidRDefault="00D00849">
      <w:pPr>
        <w:suppressAutoHyphens/>
        <w:ind w:firstLine="720"/>
        <w:jc w:val="both"/>
      </w:pPr>
      <w:r>
        <w:t>37. Эффективность осуществления расходов, источником которых являются средства гранта, оценивается Министерством путем сравнения фактически достигнутых грантополучателем значений целевых показателей резул</w:t>
      </w:r>
      <w:r>
        <w:t>ьтативности использования гранта с плановыми значениями этих показателей, указанными в соглашении.</w:t>
      </w:r>
    </w:p>
    <w:p w:rsidR="00000000" w:rsidRDefault="00D00849">
      <w:pPr>
        <w:suppressAutoHyphens/>
        <w:ind w:firstLine="720"/>
        <w:jc w:val="both"/>
      </w:pPr>
      <w:r>
        <w:t>38. Для подтверждения достижения плановых значений целевых показателей результативности использования гранта, грантополучатель представляет в Министерство от</w:t>
      </w:r>
      <w:r>
        <w:t>чет об исполнении обязательств согласно соглашению в установленные им сроки.</w:t>
      </w:r>
    </w:p>
    <w:p w:rsidR="00000000" w:rsidRDefault="00D00849">
      <w:pPr>
        <w:suppressAutoHyphens/>
        <w:ind w:firstLine="720"/>
        <w:jc w:val="both"/>
      </w:pPr>
      <w:r>
        <w:t>В случае недостижения плановых значений целевых показателей результативности использования гранта, указанных в соглашении, средства гранта подлежат возврату на лицевой счет Минист</w:t>
      </w:r>
      <w:r>
        <w:t>ерства.</w:t>
      </w:r>
    </w:p>
    <w:p w:rsidR="00000000" w:rsidRDefault="00D00849">
      <w:pPr>
        <w:suppressAutoHyphens/>
        <w:ind w:firstLine="720"/>
        <w:jc w:val="both"/>
      </w:pPr>
      <w:r>
        <w:t>39. Министерство в течение 7 календарных дней со дня установления факта недостижения плановых значений целевых показателей результативности использования гранта направляет грантополучателю уведомление о необходимости возврата гранта на лицевой счет</w:t>
      </w:r>
      <w:r>
        <w:t xml:space="preserve"> Министерства.</w:t>
      </w:r>
    </w:p>
    <w:p w:rsidR="00000000" w:rsidRDefault="00D00849">
      <w:pPr>
        <w:suppressAutoHyphens/>
        <w:ind w:firstLine="720"/>
        <w:jc w:val="both"/>
      </w:pPr>
      <w:r>
        <w:t>Грантополучатель в течение 30 календарных дней со дня получения данного уведомления о возврате выделенных бюджетных средств обязан перечислить их на лицевой счет Министерства.</w:t>
      </w:r>
    </w:p>
    <w:p w:rsidR="00000000" w:rsidRDefault="00D00849">
      <w:pPr>
        <w:suppressAutoHyphens/>
        <w:ind w:firstLine="720"/>
        <w:jc w:val="both"/>
      </w:pPr>
      <w:r>
        <w:t>При отказе грантополучателя от добровольного возврата указанных с</w:t>
      </w:r>
      <w:r>
        <w:t>редств они взыскиваются в судебном порядке.</w:t>
      </w:r>
    </w:p>
    <w:p w:rsidR="00000000" w:rsidRDefault="00D00849">
      <w:pPr>
        <w:suppressAutoHyphens/>
        <w:ind w:firstLine="720"/>
        <w:jc w:val="both"/>
      </w:pPr>
      <w:r>
        <w:t xml:space="preserve">40. В соответствии со </w:t>
      </w:r>
      <w:hyperlink r:id="rId49" w:history="1">
        <w:r>
          <w:rPr>
            <w:color w:val="106BBE"/>
          </w:rPr>
          <w:t>статьей 78</w:t>
        </w:r>
      </w:hyperlink>
      <w:r>
        <w:t xml:space="preserve"> Бюджетного кодекса Российской Федерации Министерством и органами государственного финансового контроля (по согласованию) проводится обязательн</w:t>
      </w:r>
      <w:r>
        <w:t>ая проверка соблюдения условий, целей и порядка предоставления гранта грантополучателям.</w:t>
      </w:r>
    </w:p>
    <w:p w:rsidR="00000000" w:rsidRDefault="00D00849">
      <w:pPr>
        <w:suppressAutoHyphens/>
        <w:ind w:firstLine="720"/>
        <w:jc w:val="both"/>
      </w:pPr>
      <w:r>
        <w:t>Предметом контроля является соблюдение грантополучателем условий, целей и порядка предоставления гранта, установленных настоящим Порядком и соглашением.</w:t>
      </w:r>
    </w:p>
    <w:p w:rsidR="00000000" w:rsidRDefault="00D00849">
      <w:pPr>
        <w:suppressAutoHyphens/>
        <w:ind w:firstLine="720"/>
        <w:jc w:val="both"/>
      </w:pPr>
      <w:r>
        <w:t>Документальная</w:t>
      </w:r>
      <w:r>
        <w:t xml:space="preserve"> проверка проводится по месту нахождения Министерства на основании документов, находящихся в распоряжении Министерства, а также документов, представленных грантополучателем по запросу Министерства.</w:t>
      </w:r>
    </w:p>
    <w:p w:rsidR="00000000" w:rsidRDefault="00D00849">
      <w:pPr>
        <w:suppressAutoHyphens/>
        <w:ind w:firstLine="720"/>
        <w:jc w:val="both"/>
      </w:pPr>
      <w:r>
        <w:t>В случае если достоверность сведений, содержащихся в докум</w:t>
      </w:r>
      <w:r>
        <w:t xml:space="preserve">ентах, имеющихся в распоряжении Министерства, вызывает обоснованные сомнения, либо эти сведения не позволяют оценить соблюдение грантополучателем условий, целей и порядка предоставления субсидии, установленных настоящим Порядком, Министерство направляет в </w:t>
      </w:r>
      <w:r>
        <w:t xml:space="preserve">адрес грантополучателя мотивированный запрос с требованием представить иные необходимые для рассмотрения в ходе проведения </w:t>
      </w:r>
      <w:r>
        <w:lastRenderedPageBreak/>
        <w:t>документарной проверки документы.</w:t>
      </w:r>
    </w:p>
    <w:p w:rsidR="00000000" w:rsidRDefault="00D00849">
      <w:pPr>
        <w:suppressAutoHyphens/>
        <w:ind w:firstLine="720"/>
        <w:jc w:val="both"/>
      </w:pPr>
      <w:r>
        <w:t>В течение 3 рабочих дней со дня получения мотивированного запроса грантополучатель обязан направить</w:t>
      </w:r>
      <w:r>
        <w:t xml:space="preserve"> в Министерство указанные в запросе документы.</w:t>
      </w:r>
    </w:p>
    <w:p w:rsidR="00000000" w:rsidRDefault="00D00849">
      <w:pPr>
        <w:suppressAutoHyphens/>
        <w:ind w:firstLine="720"/>
        <w:jc w:val="both"/>
      </w:pPr>
      <w:r>
        <w:t>Выездная проверка проводится по месту нахождения крестьянского (фермерского) хозяйства - грантополучателя путем документального и фактического анализа операций, связанных с затратами, произведенных грантополуч</w:t>
      </w:r>
      <w:r>
        <w:t xml:space="preserve">ателем на цели, указанные в </w:t>
      </w:r>
      <w:hyperlink r:id="rId50" w:history="1">
        <w:r>
          <w:rPr>
            <w:color w:val="106BBE"/>
          </w:rPr>
          <w:t>пунктах 4</w:t>
        </w:r>
      </w:hyperlink>
      <w:r>
        <w:t xml:space="preserve">, </w:t>
      </w:r>
      <w:hyperlink r:id="rId51" w:history="1">
        <w:r>
          <w:rPr>
            <w:color w:val="106BBE"/>
          </w:rPr>
          <w:t>5</w:t>
        </w:r>
      </w:hyperlink>
      <w:r>
        <w:t xml:space="preserve"> настоящего Порядка.</w:t>
      </w:r>
    </w:p>
    <w:p w:rsidR="00000000" w:rsidRDefault="00D00849">
      <w:pPr>
        <w:suppressAutoHyphens/>
        <w:ind w:firstLine="720"/>
        <w:jc w:val="both"/>
      </w:pPr>
      <w:r>
        <w:t>По результатам выездной проверки должностными лицами Министерства составляется акт проверки.</w:t>
      </w:r>
    </w:p>
    <w:p w:rsidR="00000000" w:rsidRDefault="00D00849">
      <w:pPr>
        <w:suppressAutoHyphens/>
        <w:ind w:firstLine="720"/>
        <w:jc w:val="both"/>
      </w:pPr>
      <w:r>
        <w:t xml:space="preserve">Грантополучатель в случае несогласия с фактами, </w:t>
      </w:r>
      <w:r>
        <w:t>выводами, предложениями, изложенными в акте проверки, в течение 3 рабочих дней с даты получения акта проверки вправе представить в Министерство в письменной форме возражения в отношении акта проверки. При этом грантополучатель прикладывает к таким возражен</w:t>
      </w:r>
      <w:r>
        <w:t>иям документы, подтверждающие обоснованность таких возражений. Письменные возражения и документы, подтверждающие обоснованность таких возражений, приобщаются Министерством к материалам проверки.</w:t>
      </w:r>
    </w:p>
    <w:p w:rsidR="00000000" w:rsidRDefault="00D00849">
      <w:pPr>
        <w:suppressAutoHyphens/>
        <w:ind w:firstLine="720"/>
        <w:jc w:val="both"/>
      </w:pPr>
      <w:r>
        <w:t>В случае нарушения грантополучателем условий предоставления г</w:t>
      </w:r>
      <w:r>
        <w:t>ранта, установленных при их предоставлении, выявленного по актам проверок, проведенных Министерством и уполномоченным органом государственного финансового контроля (по согласованию), в случае не достижения показателей, установленных настоящим Порядком и со</w:t>
      </w:r>
      <w:r>
        <w:t>глашением в соответствии с настоящим Порядком, грантополучатель осуществляет возврат гранта в следующем порядке.</w:t>
      </w:r>
    </w:p>
    <w:p w:rsidR="00000000" w:rsidRDefault="00D00849">
      <w:pPr>
        <w:suppressAutoHyphens/>
        <w:ind w:firstLine="720"/>
        <w:jc w:val="both"/>
      </w:pPr>
      <w:r>
        <w:t>В течение 7 рабочих дней со дня принятия Министерством решения о необходимости возврата выделенных бюджетных средств грантополучателю направляе</w:t>
      </w:r>
      <w:r>
        <w:t>тся соответствующее письменное уведомление.</w:t>
      </w:r>
    </w:p>
    <w:p w:rsidR="00000000" w:rsidRDefault="00D00849">
      <w:pPr>
        <w:suppressAutoHyphens/>
        <w:ind w:firstLine="720"/>
        <w:jc w:val="both"/>
      </w:pPr>
      <w:r>
        <w:t>Грантополучатель в течение 30 календарных дней со дня получения письменного уведомления обязан перечислить на лицевой счет Министерства указанную сумму средств.</w:t>
      </w:r>
    </w:p>
    <w:p w:rsidR="00000000" w:rsidRDefault="00D00849">
      <w:pPr>
        <w:suppressAutoHyphens/>
        <w:ind w:firstLine="720"/>
        <w:jc w:val="both"/>
      </w:pPr>
      <w:r>
        <w:t>При отказе грантополучателя от добровольного возвра</w:t>
      </w:r>
      <w:r>
        <w:t>та указанных средств они взыскиваются в судебном порядке.</w:t>
      </w:r>
    </w:p>
    <w:p w:rsidR="00000000" w:rsidRDefault="00D00849">
      <w:pPr>
        <w:suppressAutoHyphens/>
        <w:ind w:firstLine="720"/>
        <w:jc w:val="both"/>
      </w:pPr>
      <w:r>
        <w:t>41. Основанием для освобождения грантополучателя от возврата в бюджет Карачаево-Черкесской Республики средств субсидий является документально подтвержденное наступление обстоятельств непреодолимой с</w:t>
      </w:r>
      <w:r>
        <w:t>илы, препятствующих исполнению обязательств в части достижения значения показателя результативности использования гранта.</w:t>
      </w:r>
    </w:p>
    <w:p w:rsidR="00000000" w:rsidRDefault="00D00849">
      <w:pPr>
        <w:suppressAutoHyphens/>
        <w:ind w:firstLine="720"/>
        <w:jc w:val="both"/>
      </w:pPr>
      <w:r>
        <w:t>42. Контроль за целевым использованием бюджетных средств осуществляет Министерство.</w:t>
      </w: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00849">
      <w:pPr>
        <w:suppressAutoHyphens/>
        <w:spacing w:before="75"/>
        <w:ind w:left="170"/>
        <w:jc w:val="both"/>
        <w:rPr>
          <w:i/>
          <w:iCs/>
          <w:color w:val="353842"/>
        </w:rPr>
      </w:pPr>
      <w:r>
        <w:rPr>
          <w:i/>
          <w:iCs/>
          <w:color w:val="353842"/>
        </w:rPr>
        <w:t>Приложение дополнено п</w:t>
      </w:r>
      <w:r>
        <w:rPr>
          <w:i/>
          <w:iCs/>
          <w:color w:val="353842"/>
        </w:rPr>
        <w:t xml:space="preserve">риложением 1 с 27 августа 2019 г. - </w:t>
      </w:r>
      <w:hyperlink r:id="rId52" w:history="1">
        <w:r>
          <w:rPr>
            <w:i/>
            <w:iCs/>
            <w:color w:val="106BBE"/>
          </w:rPr>
          <w:t>Постановление</w:t>
        </w:r>
      </w:hyperlink>
      <w:r>
        <w:rPr>
          <w:i/>
          <w:iCs/>
          <w:color w:val="353842"/>
        </w:rPr>
        <w:t xml:space="preserve"> Правительства Карачаево-Черкесской Республики от 27 августа 2019 г. N 213</w:t>
      </w:r>
    </w:p>
    <w:p w:rsidR="00000000" w:rsidRDefault="00D00849">
      <w:pPr>
        <w:suppressAutoHyphens/>
        <w:ind w:firstLine="698"/>
        <w:jc w:val="right"/>
      </w:pPr>
      <w:r>
        <w:rPr>
          <w:b/>
          <w:bCs/>
          <w:color w:val="26282F"/>
        </w:rPr>
        <w:t xml:space="preserve">Приложение 1 </w:t>
      </w:r>
    </w:p>
    <w:p w:rsidR="00000000" w:rsidRDefault="00D00849">
      <w:pPr>
        <w:suppressAutoHyphens/>
        <w:ind w:firstLine="698"/>
        <w:jc w:val="right"/>
        <w:rPr>
          <w:b/>
          <w:bCs/>
        </w:rPr>
      </w:pPr>
      <w:r>
        <w:rPr>
          <w:b/>
          <w:bCs/>
          <w:color w:val="26282F"/>
        </w:rPr>
        <w:t xml:space="preserve">к </w:t>
      </w:r>
      <w:hyperlink r:id="rId53" w:history="1">
        <w:r>
          <w:rPr>
            <w:color w:val="106BBE"/>
          </w:rPr>
          <w:t>Порядку</w:t>
        </w:r>
      </w:hyperlink>
    </w:p>
    <w:p w:rsidR="00000000" w:rsidRDefault="00D00849">
      <w:pPr>
        <w:suppressAutoHyphens/>
        <w:ind w:firstLine="720"/>
        <w:jc w:val="both"/>
        <w:rPr>
          <w:b/>
          <w:bCs/>
        </w:rPr>
      </w:pPr>
    </w:p>
    <w:p w:rsidR="00000000" w:rsidRDefault="00D0084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 xml:space="preserve">План (реестр) расходов, </w:t>
      </w:r>
      <w:r>
        <w:rPr>
          <w:b/>
          <w:bCs/>
          <w:color w:val="26282F"/>
        </w:rPr>
        <w:br/>
        <w:t>предлагаемых к соф</w:t>
      </w:r>
      <w:r>
        <w:rPr>
          <w:b/>
          <w:bCs/>
          <w:color w:val="26282F"/>
        </w:rPr>
        <w:t>инансированию за счет гранта "Агростартап"</w:t>
      </w:r>
    </w:p>
    <w:p w:rsidR="00000000" w:rsidRDefault="00D00849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793"/>
        <w:gridCol w:w="1271"/>
        <w:gridCol w:w="1080"/>
        <w:gridCol w:w="1088"/>
        <w:gridCol w:w="1390"/>
        <w:gridCol w:w="1318"/>
        <w:gridCol w:w="1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Количество, 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Цена, тыс. рублей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Сумма гранта всего, рублей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Собственные средства, рублей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Заемные средства, рублей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Сумма расход</w:t>
            </w:r>
            <w:r>
              <w:t>ов, всего,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</w:tbl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00849">
      <w:pPr>
        <w:suppressAutoHyphens/>
        <w:spacing w:before="75"/>
        <w:ind w:left="170"/>
        <w:jc w:val="both"/>
        <w:rPr>
          <w:i/>
          <w:iCs/>
          <w:color w:val="353842"/>
        </w:rPr>
      </w:pPr>
      <w:r>
        <w:rPr>
          <w:i/>
          <w:iCs/>
          <w:color w:val="353842"/>
        </w:rPr>
        <w:t xml:space="preserve">Приложение дополнено приложением 2 с 27 августа 2019 г. - </w:t>
      </w:r>
      <w:hyperlink r:id="rId54" w:history="1">
        <w:r>
          <w:rPr>
            <w:i/>
            <w:iCs/>
            <w:color w:val="106BBE"/>
          </w:rPr>
          <w:t>Постановление</w:t>
        </w:r>
      </w:hyperlink>
      <w:r>
        <w:rPr>
          <w:i/>
          <w:iCs/>
          <w:color w:val="353842"/>
        </w:rPr>
        <w:t xml:space="preserve"> Правительства Карачаево-Черкесской Республики от 27 августа 2019</w:t>
      </w:r>
      <w:r>
        <w:rPr>
          <w:i/>
          <w:iCs/>
          <w:color w:val="353842"/>
        </w:rPr>
        <w:t> г. N 213</w:t>
      </w:r>
    </w:p>
    <w:p w:rsidR="00000000" w:rsidRDefault="00D00849">
      <w:pPr>
        <w:suppressAutoHyphens/>
        <w:ind w:firstLine="698"/>
        <w:jc w:val="right"/>
      </w:pPr>
      <w:r>
        <w:rPr>
          <w:b/>
          <w:bCs/>
          <w:color w:val="26282F"/>
        </w:rPr>
        <w:t xml:space="preserve">Приложение 2 </w:t>
      </w:r>
    </w:p>
    <w:p w:rsidR="00000000" w:rsidRDefault="00D00849">
      <w:pPr>
        <w:suppressAutoHyphens/>
        <w:ind w:firstLine="698"/>
        <w:jc w:val="right"/>
        <w:rPr>
          <w:b/>
          <w:bCs/>
        </w:rPr>
      </w:pPr>
      <w:r>
        <w:rPr>
          <w:b/>
          <w:bCs/>
          <w:color w:val="26282F"/>
        </w:rPr>
        <w:t xml:space="preserve">к </w:t>
      </w:r>
      <w:hyperlink r:id="rId55" w:history="1">
        <w:r>
          <w:rPr>
            <w:color w:val="106BBE"/>
          </w:rPr>
          <w:t>Порядку</w:t>
        </w:r>
      </w:hyperlink>
    </w:p>
    <w:p w:rsidR="00000000" w:rsidRDefault="00D00849">
      <w:pPr>
        <w:suppressAutoHyphens/>
        <w:ind w:firstLine="720"/>
        <w:jc w:val="both"/>
        <w:rPr>
          <w:b/>
          <w:bCs/>
        </w:rPr>
      </w:pPr>
    </w:p>
    <w:p w:rsidR="00000000" w:rsidRDefault="00D0084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 xml:space="preserve">Заявка </w:t>
      </w:r>
      <w:r>
        <w:rPr>
          <w:b/>
          <w:bCs/>
          <w:color w:val="26282F"/>
        </w:rPr>
        <w:br/>
        <w:t>на участие в мероприятиях по созданию и развитию крестьянского (фермерского) хозяйства "Агростартап"</w:t>
      </w: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  <w:r>
        <w:t>________________________________________________________</w:t>
      </w:r>
    </w:p>
    <w:p w:rsidR="00000000" w:rsidRDefault="00D00849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(фамили</w:t>
      </w:r>
      <w:r>
        <w:rPr>
          <w:rFonts w:ascii="Courier New CYR" w:hAnsi="Courier New CYR" w:cs="Courier New CYR"/>
          <w:sz w:val="22"/>
          <w:szCs w:val="22"/>
        </w:rPr>
        <w:t>я, имя, отчество)</w:t>
      </w:r>
    </w:p>
    <w:p w:rsidR="00000000" w:rsidRDefault="00D00849">
      <w:pPr>
        <w:suppressAutoHyphens/>
        <w:ind w:firstLine="720"/>
        <w:jc w:val="both"/>
      </w:pPr>
      <w:r>
        <w:t>Заявляю о своем намерении участвовать в мероприятиях по созданию и развитию крестьянского (фермерского) хозяйства "Агростартап" в рамках реализации регионального проекта "Создание системы поддержки фермеров и развитие сельской кооперации"</w:t>
      </w:r>
      <w:r>
        <w:t>. Сумма запрашиваемого гранта _________________________________________ (_____________________________________________________) рублей.</w:t>
      </w:r>
    </w:p>
    <w:p w:rsidR="00000000" w:rsidRDefault="00D00849">
      <w:pPr>
        <w:suppressAutoHyphens/>
        <w:ind w:firstLine="720"/>
        <w:jc w:val="both"/>
      </w:pPr>
      <w:r>
        <w:t>С условиями предоставления грантов ознакомлен. Обязуюсь соблюдать все предусмотренные настоящим постановлением условия п</w:t>
      </w:r>
      <w:r>
        <w:t>редоставления гранта.</w:t>
      </w:r>
    </w:p>
    <w:p w:rsidR="00000000" w:rsidRDefault="00D00849">
      <w:pPr>
        <w:suppressAutoHyphens/>
        <w:ind w:firstLine="720"/>
        <w:jc w:val="both"/>
      </w:pPr>
      <w:r>
        <w:t xml:space="preserve">Даю согласие на обработку и передачу всех моих персональных данных в соответствии с </w:t>
      </w:r>
      <w:hyperlink r:id="rId56" w:history="1">
        <w:r>
          <w:rPr>
            <w:color w:val="106BBE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00849">
      <w:pPr>
        <w:suppressAutoHyphens/>
        <w:ind w:firstLine="720"/>
        <w:jc w:val="both"/>
      </w:pPr>
      <w:r>
        <w:t xml:space="preserve">Данные листа записи </w:t>
      </w:r>
      <w:hyperlink r:id="rId57" w:history="1">
        <w:r>
          <w:rPr>
            <w:color w:val="106BBE"/>
          </w:rPr>
          <w:t>Единого государств</w:t>
        </w:r>
        <w:r>
          <w:rPr>
            <w:color w:val="106BBE"/>
          </w:rPr>
          <w:t>енного реестра</w:t>
        </w:r>
      </w:hyperlink>
      <w:r>
        <w:t xml:space="preserve"> индивидуальных предпринимателей (при наличии) ________________</w:t>
      </w:r>
    </w:p>
    <w:p w:rsidR="00000000" w:rsidRDefault="00D00849">
      <w:pPr>
        <w:suppressAutoHyphens/>
        <w:ind w:firstLine="720"/>
        <w:jc w:val="both"/>
      </w:pPr>
      <w:hyperlink r:id="rId58" w:history="1">
        <w:r>
          <w:rPr>
            <w:color w:val="106BBE"/>
          </w:rPr>
          <w:t>ИНН</w:t>
        </w:r>
      </w:hyperlink>
      <w:r>
        <w:t xml:space="preserve"> __________________________________________________</w:t>
      </w:r>
    </w:p>
    <w:p w:rsidR="00000000" w:rsidRDefault="00D00849">
      <w:pPr>
        <w:suppressAutoHyphens/>
        <w:ind w:firstLine="720"/>
        <w:jc w:val="both"/>
      </w:pPr>
      <w:r>
        <w:t>Дата выдачи ___________________________________________</w:t>
      </w:r>
    </w:p>
    <w:p w:rsidR="00000000" w:rsidRDefault="00D00849">
      <w:pPr>
        <w:suppressAutoHyphens/>
        <w:ind w:firstLine="720"/>
        <w:jc w:val="both"/>
      </w:pPr>
      <w:r>
        <w:t>Наименование регистрирующ</w:t>
      </w:r>
      <w:r>
        <w:t>его органа _____________________</w:t>
      </w:r>
    </w:p>
    <w:p w:rsidR="00000000" w:rsidRDefault="00D00849">
      <w:pPr>
        <w:suppressAutoHyphens/>
        <w:ind w:firstLine="720"/>
        <w:jc w:val="both"/>
      </w:pPr>
      <w:r>
        <w:t>Адрес места регистрации, адрес фактического места жительства</w:t>
      </w:r>
    </w:p>
    <w:p w:rsidR="00000000" w:rsidRDefault="00D00849">
      <w:pPr>
        <w:suppressAutoHyphens/>
        <w:ind w:firstLine="720"/>
        <w:jc w:val="both"/>
      </w:pPr>
      <w:r>
        <w:t>_______________________________________________________</w:t>
      </w:r>
    </w:p>
    <w:p w:rsidR="00000000" w:rsidRDefault="00D00849">
      <w:pPr>
        <w:suppressAutoHyphens/>
        <w:ind w:firstLine="720"/>
        <w:jc w:val="both"/>
      </w:pPr>
      <w:r>
        <w:t>Контактный телефон _____________________________________</w:t>
      </w: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  <w:r>
        <w:t>Приложение:</w:t>
      </w:r>
    </w:p>
    <w:p w:rsidR="00000000" w:rsidRDefault="00D00849">
      <w:pPr>
        <w:suppressAutoHyphens/>
        <w:ind w:firstLine="720"/>
        <w:jc w:val="both"/>
      </w:pPr>
      <w:r>
        <w:t>опись документов, прилагаемых к заяв</w:t>
      </w:r>
      <w:r>
        <w:t>ке, на ___ л. в ___ экз.</w:t>
      </w: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  <w:r>
        <w:t>_______________________________.</w:t>
      </w:r>
    </w:p>
    <w:p w:rsidR="00000000" w:rsidRDefault="00D00849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(ФИО, подпись, дата)</w:t>
      </w:r>
    </w:p>
    <w:p w:rsidR="00000000" w:rsidRDefault="00D00849">
      <w:pPr>
        <w:suppressAutoHyphens/>
        <w:ind w:firstLine="720"/>
        <w:jc w:val="both"/>
      </w:pPr>
      <w:r>
        <w:t>МП</w:t>
      </w: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000000" w:rsidRDefault="00D00849">
      <w:pPr>
        <w:suppressAutoHyphens/>
        <w:spacing w:before="75"/>
        <w:ind w:left="170"/>
        <w:jc w:val="both"/>
        <w:rPr>
          <w:i/>
          <w:iCs/>
          <w:color w:val="353842"/>
        </w:rPr>
      </w:pPr>
      <w:r>
        <w:rPr>
          <w:i/>
          <w:iCs/>
          <w:color w:val="353842"/>
        </w:rPr>
        <w:t xml:space="preserve">Приложение дополнено приложением 3 с 27 августа 2019 г. - </w:t>
      </w:r>
      <w:hyperlink r:id="rId59" w:history="1">
        <w:r>
          <w:rPr>
            <w:i/>
            <w:iCs/>
            <w:color w:val="106BBE"/>
          </w:rPr>
          <w:t>Постановление</w:t>
        </w:r>
      </w:hyperlink>
      <w:r>
        <w:rPr>
          <w:i/>
          <w:iCs/>
          <w:color w:val="353842"/>
        </w:rPr>
        <w:t xml:space="preserve"> Правительства Карачаево-Чер</w:t>
      </w:r>
      <w:r>
        <w:rPr>
          <w:i/>
          <w:iCs/>
          <w:color w:val="353842"/>
        </w:rPr>
        <w:t>кесской Республики от 27 августа 2019 г. N 213</w:t>
      </w:r>
    </w:p>
    <w:p w:rsidR="00000000" w:rsidRDefault="00D00849">
      <w:pPr>
        <w:suppressAutoHyphens/>
        <w:ind w:firstLine="698"/>
        <w:jc w:val="right"/>
      </w:pPr>
      <w:r>
        <w:rPr>
          <w:b/>
          <w:bCs/>
          <w:color w:val="26282F"/>
        </w:rPr>
        <w:t xml:space="preserve">Приложение 3 </w:t>
      </w:r>
    </w:p>
    <w:p w:rsidR="00000000" w:rsidRDefault="00D00849">
      <w:pPr>
        <w:suppressAutoHyphens/>
        <w:ind w:firstLine="698"/>
        <w:jc w:val="right"/>
        <w:rPr>
          <w:b/>
          <w:bCs/>
        </w:rPr>
      </w:pPr>
      <w:r>
        <w:rPr>
          <w:b/>
          <w:bCs/>
          <w:color w:val="26282F"/>
        </w:rPr>
        <w:t xml:space="preserve">к </w:t>
      </w:r>
      <w:hyperlink r:id="rId60" w:history="1">
        <w:r>
          <w:rPr>
            <w:color w:val="106BBE"/>
          </w:rPr>
          <w:t>Порядку</w:t>
        </w:r>
      </w:hyperlink>
    </w:p>
    <w:p w:rsidR="00000000" w:rsidRDefault="00D00849">
      <w:pPr>
        <w:suppressAutoHyphens/>
        <w:ind w:firstLine="720"/>
        <w:jc w:val="both"/>
        <w:rPr>
          <w:b/>
          <w:bCs/>
        </w:rPr>
      </w:pPr>
    </w:p>
    <w:p w:rsidR="00000000" w:rsidRDefault="00D0084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Проект "Агростартап"</w:t>
      </w: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Раздел 1. Сведения о крестьянском (фермерском) хозяйстве (гражданине РФ), планирующем реализацию проекта "Агростартап"</w:t>
      </w:r>
    </w:p>
    <w:p w:rsidR="00000000" w:rsidRDefault="00D00849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055"/>
        <w:gridCol w:w="944"/>
        <w:gridCol w:w="1007"/>
        <w:gridCol w:w="1768"/>
        <w:gridCol w:w="907"/>
        <w:gridCol w:w="766"/>
        <w:gridCol w:w="1051"/>
        <w:gridCol w:w="946"/>
        <w:gridCol w:w="857"/>
        <w:gridCol w:w="916"/>
        <w:gridCol w:w="785"/>
        <w:gridCol w:w="9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ФИО главы КФХ</w:t>
            </w:r>
            <w:r>
              <w:t xml:space="preserve"> (физического лица)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Пол (муж/жен)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Возраст (полных лет)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Образование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Адрес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Количество членов КФХ (человек)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Дата регистрации КФХ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hyperlink r:id="rId61" w:history="1">
              <w:r>
                <w:rPr>
                  <w:color w:val="106BBE"/>
                </w:rPr>
                <w:t>ИНН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hyperlink r:id="rId62" w:history="1">
              <w:r>
                <w:rPr>
                  <w:color w:val="106BBE"/>
                </w:rPr>
                <w:t>ОКТМО</w:t>
              </w:r>
            </w:hyperlink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 xml:space="preserve">Вид деятельности по </w:t>
            </w:r>
            <w:hyperlink r:id="rId63" w:history="1">
              <w:r>
                <w:rPr>
                  <w:color w:val="106BBE"/>
                </w:rPr>
                <w:t>ОКВЭД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регистрации главы КФХ (физического лица), контактный телефон, адрес электронной почты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места реализации проекта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из них членов семьи главы КФХ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основной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по проекту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</w:tbl>
    <w:p w:rsidR="00000000" w:rsidRDefault="00D00849">
      <w:pPr>
        <w:suppressAutoHyphens/>
        <w:ind w:firstLine="720"/>
        <w:jc w:val="both"/>
      </w:pPr>
    </w:p>
    <w:p w:rsidR="00000000" w:rsidRDefault="00D0084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Раздел 2. Сведени</w:t>
      </w:r>
      <w:r>
        <w:rPr>
          <w:b/>
          <w:bCs/>
          <w:color w:val="26282F"/>
        </w:rPr>
        <w:t>я о планируемых расходах на реализацию проекта "Агростартап"</w:t>
      </w:r>
    </w:p>
    <w:p w:rsidR="00000000" w:rsidRDefault="00D00849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139"/>
        <w:gridCol w:w="658"/>
        <w:gridCol w:w="962"/>
        <w:gridCol w:w="1080"/>
        <w:gridCol w:w="1080"/>
        <w:gridCol w:w="2001"/>
        <w:gridCol w:w="1021"/>
        <w:gridCol w:w="1220"/>
        <w:gridCol w:w="1210"/>
        <w:gridCol w:w="953"/>
        <w:gridCol w:w="1220"/>
        <w:gridCol w:w="9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00849">
            <w:pPr>
              <w:suppressAutoHyphens/>
              <w:jc w:val="right"/>
            </w:pPr>
            <w: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Общая сумма планируемых расходов на реализацию проекта "Агростартап"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Из них за счет гранта "Агростартап", рублей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Собственные средства КФХ (физического лица), рублей</w:t>
            </w:r>
          </w:p>
        </w:tc>
        <w:tc>
          <w:tcPr>
            <w:tcW w:w="10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Направления расходо</w:t>
            </w:r>
            <w:r>
              <w:t>вания средств в соответствии с планом расходов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в том числе заемные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приобретение земель сельхозназначения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разработка проектно-сметной документации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приобретение, строительство, ремонт, модернизация и переустройство производственных и складских здани</w:t>
            </w:r>
            <w:r>
              <w:t xml:space="preserve">й, </w:t>
            </w:r>
            <w:r>
              <w:lastRenderedPageBreak/>
              <w:t>помещений, пристроек и сооружений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lastRenderedPageBreak/>
              <w:t xml:space="preserve">подключение производственных объектов к инженерным </w:t>
            </w:r>
            <w:r>
              <w:lastRenderedPageBreak/>
              <w:t>сетям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lastRenderedPageBreak/>
              <w:t xml:space="preserve">приобретение сельскохозяйственных животных, птицы, рыбопосадочного </w:t>
            </w:r>
            <w:r>
              <w:lastRenderedPageBreak/>
              <w:t>материала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lastRenderedPageBreak/>
              <w:t>приобретение сельскохозяйственной техники и транспорта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внесение средств в неделимый ф</w:t>
            </w:r>
            <w:r>
              <w:t>онд СПоК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приобретение посадочного материала для закладки многолетних насажде</w:t>
            </w:r>
            <w:r>
              <w:lastRenderedPageBreak/>
              <w:t>ний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lastRenderedPageBreak/>
              <w:t>погашение основного долга по кредитам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</w:tbl>
    <w:p w:rsidR="00000000" w:rsidRDefault="00D00849">
      <w:pPr>
        <w:suppressAutoHyphens/>
        <w:ind w:firstLine="720"/>
        <w:jc w:val="both"/>
      </w:pPr>
    </w:p>
    <w:p w:rsidR="00000000" w:rsidRDefault="00D0084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Раздел 3. Сведения о планируемых расходах средств сельскохозяйственным потребительским кооп</w:t>
      </w:r>
      <w:r>
        <w:rPr>
          <w:b/>
          <w:bCs/>
          <w:color w:val="26282F"/>
        </w:rPr>
        <w:t>еративом (СПоК), в неделимый фонд которого внесены средства КФХ, полученные на реализацию "Агростартапа" (сведения вносятся в случае предоставления гранта "Агростартап" на цели, указанные в подпункте 4.2. пункта 4 настоящего Порядка)</w:t>
      </w:r>
    </w:p>
    <w:p w:rsidR="00000000" w:rsidRDefault="00D00849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312"/>
        <w:gridCol w:w="1187"/>
        <w:gridCol w:w="1668"/>
        <w:gridCol w:w="1194"/>
        <w:gridCol w:w="1500"/>
        <w:gridCol w:w="1820"/>
        <w:gridCol w:w="13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00849">
            <w:pPr>
              <w:suppressAutoHyphens/>
              <w:jc w:val="right"/>
            </w:pPr>
            <w: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Сумма грант</w:t>
            </w:r>
            <w:r>
              <w:t>а, планируемая для внесенная в неделимый фонд СПоК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 xml:space="preserve">Наименование СПоК, адрес, </w:t>
            </w:r>
            <w:hyperlink r:id="rId64" w:history="1">
              <w:r>
                <w:rPr>
                  <w:color w:val="106BBE"/>
                </w:rPr>
                <w:t>ИНН</w:t>
              </w:r>
            </w:hyperlink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Использовано средств СПоК в соответствии с планом расходов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разработка проектно-сметной документации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подключение производственных объе</w:t>
            </w:r>
            <w:r>
              <w:t>ктов к инженерным сетям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приобретение оборудования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приобретение оборудования для аквакультуры (рыбоводства)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приобретение сельскохозяйственной техники и транспорта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доставка и монтаж оборудования и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</w:tbl>
    <w:p w:rsidR="00000000" w:rsidRDefault="00D00849">
      <w:pPr>
        <w:suppressAutoHyphens/>
        <w:ind w:firstLine="720"/>
        <w:jc w:val="both"/>
      </w:pPr>
    </w:p>
    <w:p w:rsidR="00000000" w:rsidRDefault="00D0084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Раздел 4. Планируемые пок</w:t>
      </w:r>
      <w:r>
        <w:rPr>
          <w:b/>
          <w:bCs/>
          <w:color w:val="26282F"/>
        </w:rPr>
        <w:t>азатели деятельности КФХ при реализации проекта "Агростартап"</w:t>
      </w:r>
    </w:p>
    <w:p w:rsidR="00000000" w:rsidRDefault="00D00849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821"/>
        <w:gridCol w:w="1096"/>
        <w:gridCol w:w="1046"/>
        <w:gridCol w:w="1399"/>
        <w:gridCol w:w="1399"/>
        <w:gridCol w:w="1132"/>
        <w:gridCol w:w="834"/>
        <w:gridCol w:w="922"/>
        <w:gridCol w:w="15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00849">
            <w:pPr>
              <w:suppressAutoHyphens/>
              <w:jc w:val="right"/>
            </w:pPr>
            <w:r>
              <w:t>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Год реализации проекта Агростартап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Произведено продукции за отчетный период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Выручка от реализации сельскохозяйственной продукции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Себестоимость реализованной сельскохозяйственной проду</w:t>
            </w:r>
            <w:r>
              <w:t>кции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Прибыль (убыток) до налогообложения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Сумма уплаченных налогов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Чистая прибыль (убыток)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Рентабельность,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всего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в том числе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продукции растениеводства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продукции животноводства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7 = 5 - 6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9 = 7 - 8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10 = (9/5) х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Год, пред</w:t>
            </w:r>
            <w:r>
              <w:t>шествующий году начала реализации проекта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 xml:space="preserve">Год предоставления гранта и начала </w:t>
            </w:r>
            <w:r>
              <w:lastRenderedPageBreak/>
              <w:t>реализации проекта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lastRenderedPageBreak/>
              <w:t>Второй год реализации проекта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Третий год реализации проекта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Четвертый год реализации проекта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Пятый год реализа</w:t>
            </w:r>
            <w:r>
              <w:t>ции проекта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</w:tbl>
    <w:p w:rsidR="00000000" w:rsidRDefault="00D00849">
      <w:pPr>
        <w:suppressAutoHyphens/>
        <w:ind w:firstLine="720"/>
        <w:jc w:val="both"/>
      </w:pPr>
    </w:p>
    <w:p w:rsidR="00000000" w:rsidRDefault="00D00849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Раздел 5. Планируемые показатели использования трудовых ресурсов КФХ при реализации проекта "Агростартап"</w:t>
      </w:r>
    </w:p>
    <w:p w:rsidR="00000000" w:rsidRDefault="00D00849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1458"/>
        <w:gridCol w:w="1636"/>
        <w:gridCol w:w="1153"/>
        <w:gridCol w:w="1159"/>
        <w:gridCol w:w="1155"/>
        <w:gridCol w:w="11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Показатель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Год, предшествующий году начала реализации проекта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Год предоставления гранта и начала реализации проекта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Второй год</w:t>
            </w:r>
            <w:r>
              <w:t xml:space="preserve"> реализации проекта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Третий год реализации проекта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Четвертый год реализации проекта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center"/>
            </w:pPr>
            <w:r>
              <w:t>Пятый год реализации проекта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Всего работников, 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в том числе принятые в рамках реализации "Агростартапа", 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Фонд заработной платы, тыс. рублей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Среднемесячная заработная плата, рублей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в том числе работников, принятых в рамках реализации "Агростартапа", тыс. рублей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Выплата страховых отчислений на конец отчетного периода, тыс. рублей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</w:pPr>
            <w:r>
              <w:t>в том числе по работникам, принятым в рам</w:t>
            </w:r>
            <w:r>
              <w:t>ках реализации "Агростартапа", тыс. рублей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849">
            <w:pPr>
              <w:suppressAutoHyphens/>
              <w:jc w:val="both"/>
            </w:pPr>
          </w:p>
        </w:tc>
      </w:tr>
    </w:tbl>
    <w:p w:rsidR="00000000" w:rsidRDefault="00D00849">
      <w:pPr>
        <w:suppressAutoHyphens/>
        <w:ind w:firstLine="720"/>
        <w:jc w:val="both"/>
      </w:pPr>
    </w:p>
    <w:p w:rsidR="00000000" w:rsidRDefault="00D00849">
      <w:pPr>
        <w:suppressAutoHyphens/>
        <w:ind w:firstLine="720"/>
        <w:jc w:val="both"/>
      </w:pPr>
    </w:p>
    <w:p w:rsidR="00000000" w:rsidRDefault="00D00849">
      <w:pPr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9"/>
    <w:rsid w:val="00D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18" Type="http://schemas.openxmlformats.org/officeDocument/2006/relationships/hyperlink" Target="garantF1://72173932.0" TargetMode="External"/><Relationship Id="rId26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39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21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www.mcxkchr.ru" TargetMode="External"/><Relationship Id="rId34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42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47" Type="http://schemas.openxmlformats.org/officeDocument/2006/relationships/hyperlink" Target="garantF1://71454106.0" TargetMode="External"/><Relationship Id="rId50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55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63" Type="http://schemas.openxmlformats.org/officeDocument/2006/relationships/hyperlink" Target="garantF1://70550726.0" TargetMode="External"/><Relationship Id="rId7" Type="http://schemas.openxmlformats.org/officeDocument/2006/relationships/hyperlink" Target="garantF1://72128748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20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29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41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54" Type="http://schemas.openxmlformats.org/officeDocument/2006/relationships/hyperlink" Target="garantF1://72577196.3" TargetMode="External"/><Relationship Id="rId62" Type="http://schemas.openxmlformats.org/officeDocument/2006/relationships/hyperlink" Target="garantF1://7036594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0815250.0" TargetMode="External"/><Relationship Id="rId11" Type="http://schemas.openxmlformats.org/officeDocument/2006/relationships/hyperlink" Target="garantF1://72577196.3" TargetMode="External"/><Relationship Id="rId24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32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37" Type="http://schemas.openxmlformats.org/officeDocument/2006/relationships/hyperlink" Target="garantF1://70927534.262" TargetMode="External"/><Relationship Id="rId40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45" Type="http://schemas.openxmlformats.org/officeDocument/2006/relationships/hyperlink" Target="garantF1://10064072.3" TargetMode="External"/><Relationship Id="rId53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58" Type="http://schemas.openxmlformats.org/officeDocument/2006/relationships/hyperlink" Target="garantF1://12034853.1000" TargetMode="External"/><Relationship Id="rId66" Type="http://schemas.openxmlformats.org/officeDocument/2006/relationships/theme" Target="theme/theme1.xml"/><Relationship Id="rId5" Type="http://schemas.openxmlformats.org/officeDocument/2006/relationships/hyperlink" Target="garantF1://72577196.10" TargetMode="External"/><Relationship Id="rId15" Type="http://schemas.openxmlformats.org/officeDocument/2006/relationships/hyperlink" Target="garantF1://12054854.0" TargetMode="External"/><Relationship Id="rId23" Type="http://schemas.openxmlformats.org/officeDocument/2006/relationships/hyperlink" Target="garantF1://12054854.0" TargetMode="External"/><Relationship Id="rId28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36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49" Type="http://schemas.openxmlformats.org/officeDocument/2006/relationships/hyperlink" Target="garantF1://12012604.78" TargetMode="External"/><Relationship Id="rId57" Type="http://schemas.openxmlformats.org/officeDocument/2006/relationships/hyperlink" Target="garantF1://71755478.1000" TargetMode="External"/><Relationship Id="rId61" Type="http://schemas.openxmlformats.org/officeDocument/2006/relationships/hyperlink" Target="garantF1://12034853.1000" TargetMode="External"/><Relationship Id="rId10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19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31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44" Type="http://schemas.openxmlformats.org/officeDocument/2006/relationships/hyperlink" Target="garantF1://12033556.4" TargetMode="External"/><Relationship Id="rId52" Type="http://schemas.openxmlformats.org/officeDocument/2006/relationships/hyperlink" Target="garantF1://72577196.3" TargetMode="External"/><Relationship Id="rId60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0815250.1" TargetMode="External"/><Relationship Id="rId14" Type="http://schemas.openxmlformats.org/officeDocument/2006/relationships/hyperlink" Target="garantF1://72128748.0" TargetMode="External"/><Relationship Id="rId22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www.mcxkchr.ru" TargetMode="External"/><Relationship Id="rId27" Type="http://schemas.openxmlformats.org/officeDocument/2006/relationships/hyperlink" Target="garantF1://10800200.1" TargetMode="External"/><Relationship Id="rId30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35" Type="http://schemas.openxmlformats.org/officeDocument/2006/relationships/hyperlink" Target="garantF1://12048567.4" TargetMode="External"/><Relationship Id="rId43" Type="http://schemas.openxmlformats.org/officeDocument/2006/relationships/hyperlink" Target="garantF1://12033556.1012" TargetMode="External"/><Relationship Id="rId48" Type="http://schemas.openxmlformats.org/officeDocument/2006/relationships/hyperlink" Target="garantF1://12027526.1" TargetMode="External"/><Relationship Id="rId56" Type="http://schemas.openxmlformats.org/officeDocument/2006/relationships/hyperlink" Target="garantF1://12048567.4" TargetMode="External"/><Relationship Id="rId64" Type="http://schemas.openxmlformats.org/officeDocument/2006/relationships/hyperlink" Target="garantF1://12034853.1000" TargetMode="External"/><Relationship Id="rId8" Type="http://schemas.openxmlformats.org/officeDocument/2006/relationships/hyperlink" Target="garantF1://72577196.2" TargetMode="External"/><Relationship Id="rId51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30815250.1000" TargetMode="External"/><Relationship Id="rId17" Type="http://schemas.openxmlformats.org/officeDocument/2006/relationships/hyperlink" Target="garantF1://12012604.20030" TargetMode="External"/><Relationship Id="rId25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33" Type="http://schemas.openxmlformats.org/officeDocument/2006/relationships/hyperlink" Target="file:///\\server2\adm\&#1054;&#1058;&#1044;&#1045;&#1051;%20&#1055;&#1045;&#1056;&#1045;&#1056;&#1040;&#1041;&#1054;&#1058;&#1050;&#1048;\&#1058;&#1051;&#1059;&#1050;&#1040;&#1064;&#1040;&#1054;&#1042;&#1040;%20&#1041;&#1077;&#1083;&#1083;&#1072;\&#1070;&#1088;.%20&#1086;&#1090;&#1076;&#1077;&#1083;\l%20" TargetMode="External"/><Relationship Id="rId38" Type="http://schemas.openxmlformats.org/officeDocument/2006/relationships/hyperlink" Target="garantF1://71542592.1000" TargetMode="External"/><Relationship Id="rId46" Type="http://schemas.openxmlformats.org/officeDocument/2006/relationships/hyperlink" Target="garantF1://10064072.20000" TargetMode="External"/><Relationship Id="rId59" Type="http://schemas.openxmlformats.org/officeDocument/2006/relationships/hyperlink" Target="garantF1://72577196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2019-11-13T09:48:00Z</dcterms:created>
  <dcterms:modified xsi:type="dcterms:W3CDTF">2019-11-13T09:48:00Z</dcterms:modified>
</cp:coreProperties>
</file>