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07380">
      <w:pPr>
        <w:pStyle w:val="1"/>
      </w:pPr>
      <w:r>
        <w:fldChar w:fldCharType="begin"/>
      </w:r>
      <w:r>
        <w:instrText>HYPERLINK "garantF1://55072016.0"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19 августа 2011 г. N 694</w:t>
      </w:r>
      <w:r>
        <w:rPr>
          <w:rStyle w:val="a4"/>
          <w:b w:val="0"/>
          <w:bCs w:val="0"/>
        </w:rPr>
        <w:br/>
        <w:t>"Об утверждении методики осуществления мониторинга правоприменения в Российской Федерации"</w:t>
      </w:r>
      <w:r>
        <w:fldChar w:fldCharType="end"/>
      </w:r>
    </w:p>
    <w:p w:rsidR="00000000" w:rsidRDefault="00907380"/>
    <w:p w:rsidR="00000000" w:rsidRDefault="00907380">
      <w:r>
        <w:t xml:space="preserve">В соответствии с </w:t>
      </w:r>
      <w:hyperlink r:id="rId6" w:history="1">
        <w:r>
          <w:rPr>
            <w:rStyle w:val="a4"/>
          </w:rPr>
          <w:t>пунктом 8</w:t>
        </w:r>
      </w:hyperlink>
      <w:r>
        <w:t xml:space="preserve"> Указа Президента Российской Федерации от 20 мая 2011 г. N 657 "О мониторинге правоприменения в Российской Федерации" Правительство Российской Федерации постановляет:</w:t>
      </w:r>
    </w:p>
    <w:p w:rsidR="00000000" w:rsidRDefault="00907380">
      <w:bookmarkStart w:id="1" w:name="sub_100"/>
      <w:r>
        <w:t xml:space="preserve">Утвердить прилагаемую </w:t>
      </w:r>
      <w:hyperlink w:anchor="sub_1000" w:history="1">
        <w:r>
          <w:rPr>
            <w:rStyle w:val="a4"/>
          </w:rPr>
          <w:t>методику</w:t>
        </w:r>
      </w:hyperlink>
      <w:r>
        <w:t xml:space="preserve"> осуществления мониторинга</w:t>
      </w:r>
      <w:r>
        <w:t xml:space="preserve"> правоприменения в Российской Федерации.</w:t>
      </w:r>
    </w:p>
    <w:bookmarkEnd w:id="1"/>
    <w:p w:rsidR="00000000" w:rsidRDefault="0090738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7380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7380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907380"/>
    <w:p w:rsidR="00000000" w:rsidRDefault="00907380">
      <w:pPr>
        <w:pStyle w:val="a8"/>
      </w:pPr>
      <w:r>
        <w:t>Москва</w:t>
      </w:r>
    </w:p>
    <w:p w:rsidR="00000000" w:rsidRDefault="00907380">
      <w:pPr>
        <w:pStyle w:val="a8"/>
      </w:pPr>
      <w:r>
        <w:t>19 августа 2011 г.</w:t>
      </w:r>
    </w:p>
    <w:p w:rsidR="00000000" w:rsidRDefault="00907380">
      <w:pPr>
        <w:pStyle w:val="a8"/>
      </w:pPr>
      <w:r>
        <w:t>N 694</w:t>
      </w:r>
    </w:p>
    <w:p w:rsidR="00000000" w:rsidRDefault="00907380"/>
    <w:p w:rsidR="00000000" w:rsidRDefault="00907380">
      <w:pPr>
        <w:pStyle w:val="1"/>
      </w:pPr>
      <w:bookmarkStart w:id="2" w:name="sub_1000"/>
      <w:r>
        <w:t>Методика</w:t>
      </w:r>
      <w:r>
        <w:br/>
        <w:t>осуществления мониторинга правоприменения в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</w:t>
        </w:r>
        <w:r>
          <w:rPr>
            <w:rStyle w:val="a4"/>
            <w:b w:val="0"/>
            <w:bCs w:val="0"/>
          </w:rPr>
          <w:t>влением</w:t>
        </w:r>
      </w:hyperlink>
      <w:r>
        <w:t xml:space="preserve"> Правительства РФ от 19 августа 2011 г. N 694)</w:t>
      </w:r>
    </w:p>
    <w:bookmarkEnd w:id="2"/>
    <w:p w:rsidR="00000000" w:rsidRDefault="0090738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07380">
      <w:pPr>
        <w:pStyle w:val="a6"/>
      </w:pPr>
      <w:r>
        <w:t xml:space="preserve">См. также </w:t>
      </w:r>
      <w:hyperlink r:id="rId7" w:history="1">
        <w:r>
          <w:rPr>
            <w:rStyle w:val="a4"/>
          </w:rPr>
          <w:t>методику</w:t>
        </w:r>
      </w:hyperlink>
      <w:r>
        <w:t xml:space="preserve"> мониторинга правоприменения законодательства о противодействии коррупции</w:t>
      </w:r>
    </w:p>
    <w:p w:rsidR="00000000" w:rsidRDefault="00907380">
      <w:bookmarkStart w:id="3" w:name="sub_1"/>
      <w:r>
        <w:t>1. Настоящая методика устанавливает правила и опре</w:t>
      </w:r>
      <w:r>
        <w:t>деляет показатели осуществления мониторинга правоприменения в Российской Федерации федеральными органами исполнительной власти и органами государственной власти субъектов Российской Федерации.</w:t>
      </w:r>
    </w:p>
    <w:p w:rsidR="00000000" w:rsidRDefault="00907380">
      <w:bookmarkStart w:id="4" w:name="sub_2"/>
      <w:bookmarkEnd w:id="3"/>
      <w:r>
        <w:t>2. В соответствии с настоящей методикой проводятся те</w:t>
      </w:r>
      <w:r>
        <w:t>кущий и оперативный виды мониторинга правоприменения.</w:t>
      </w:r>
    </w:p>
    <w:bookmarkEnd w:id="4"/>
    <w:p w:rsidR="00000000" w:rsidRDefault="00907380">
      <w:r>
        <w:t>Текущий мониторинг осуществляется на регулярной основе в отношении отрасли (подотрасли) законодательства и группы нормативных правовых актов.</w:t>
      </w:r>
    </w:p>
    <w:p w:rsidR="00000000" w:rsidRDefault="00907380">
      <w:r>
        <w:t>Оперативный мониторинг осуществляется в течение первого</w:t>
      </w:r>
      <w:r>
        <w:t xml:space="preserve"> года действия нормативных правовых актов Российской Федерации, выполнения решений Конституционного Суда Российской Федерации и постановлений Европейского Суда по правам человека.</w:t>
      </w:r>
    </w:p>
    <w:p w:rsidR="00000000" w:rsidRDefault="00907380">
      <w:bookmarkStart w:id="5" w:name="sub_3"/>
      <w:r>
        <w:t>3. Мониторинг правоприменения включает в себя сбор, обобщение, анализ и</w:t>
      </w:r>
      <w:r>
        <w:t xml:space="preserve"> оценку практики применения:</w:t>
      </w:r>
    </w:p>
    <w:p w:rsidR="00000000" w:rsidRDefault="00907380">
      <w:bookmarkStart w:id="6" w:name="sub_31"/>
      <w:bookmarkEnd w:id="5"/>
      <w:r>
        <w:t xml:space="preserve">а)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:rsidR="00000000" w:rsidRDefault="00907380">
      <w:bookmarkStart w:id="7" w:name="sub_32"/>
      <w:bookmarkEnd w:id="6"/>
      <w:r>
        <w:t>б) федеральных конституционных законов;</w:t>
      </w:r>
    </w:p>
    <w:p w:rsidR="00000000" w:rsidRDefault="00907380">
      <w:bookmarkStart w:id="8" w:name="sub_33"/>
      <w:bookmarkEnd w:id="7"/>
      <w:r>
        <w:t>в) федеральных законов;</w:t>
      </w:r>
    </w:p>
    <w:p w:rsidR="00000000" w:rsidRDefault="00907380">
      <w:bookmarkStart w:id="9" w:name="sub_34"/>
      <w:bookmarkEnd w:id="8"/>
      <w: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</w:t>
      </w:r>
      <w:r>
        <w:t>ации;</w:t>
      </w:r>
    </w:p>
    <w:p w:rsidR="00000000" w:rsidRDefault="00907380">
      <w:bookmarkStart w:id="10" w:name="sub_35"/>
      <w:bookmarkEnd w:id="9"/>
      <w:r>
        <w:t>д) указов Президента Российской Федерации;</w:t>
      </w:r>
    </w:p>
    <w:p w:rsidR="00000000" w:rsidRDefault="00907380">
      <w:bookmarkStart w:id="11" w:name="sub_36"/>
      <w:bookmarkEnd w:id="10"/>
      <w:r>
        <w:t>е) постановлений Правительства Российской Федерации;</w:t>
      </w:r>
    </w:p>
    <w:p w:rsidR="00000000" w:rsidRDefault="00907380">
      <w:bookmarkStart w:id="12" w:name="sub_37"/>
      <w:bookmarkEnd w:id="11"/>
      <w:r>
        <w:t>ж) нормативных правовых актов федеральных органов исполнительной власти, иных государственных органов и организаций, и</w:t>
      </w:r>
      <w:r>
        <w:t xml:space="preserve">здающих в соответствии с </w:t>
      </w:r>
      <w:r>
        <w:lastRenderedPageBreak/>
        <w:t>законодательством Российской Федерации нормативные правовые акты.</w:t>
      </w:r>
    </w:p>
    <w:p w:rsidR="00000000" w:rsidRDefault="00907380">
      <w:bookmarkStart w:id="13" w:name="sub_4"/>
      <w:bookmarkEnd w:id="12"/>
      <w:r>
        <w:t>4. При осуществлении мониторинга правоприменения учитывается также практика применения нормативных правовых актов СССР и РСФСР, сохраняющих действие на те</w:t>
      </w:r>
      <w:r>
        <w:t>рритории Российской Федерации.</w:t>
      </w:r>
    </w:p>
    <w:p w:rsidR="00000000" w:rsidRDefault="00907380">
      <w:bookmarkStart w:id="14" w:name="sub_5"/>
      <w:bookmarkEnd w:id="13"/>
      <w:r>
        <w:t>5. При осуществлении мониторинга правоприменения по вопросам выполнения решений Конституционного Суда Российской Федерации и постановлений Европейского Суда по правам человека обобщается, анализируется и оценивается</w:t>
      </w:r>
      <w:r>
        <w:t xml:space="preserve"> практика выполнения постановлений и определений Конституционного Суда Российской Федерации и постановлений Европейского Суда по правам человека.</w:t>
      </w:r>
    </w:p>
    <w:p w:rsidR="00000000" w:rsidRDefault="00907380">
      <w:bookmarkStart w:id="15" w:name="sub_6"/>
      <w:bookmarkEnd w:id="14"/>
      <w:r>
        <w:t>6. При осуществлении мониторинга правоприменения используется:</w:t>
      </w:r>
    </w:p>
    <w:p w:rsidR="00000000" w:rsidRDefault="00907380">
      <w:bookmarkStart w:id="16" w:name="sub_61"/>
      <w:bookmarkEnd w:id="15"/>
      <w:r>
        <w:t>а) практика судов общей юр</w:t>
      </w:r>
      <w:r>
        <w:t>исдикции и арбитражных судов;</w:t>
      </w:r>
    </w:p>
    <w:p w:rsidR="00000000" w:rsidRDefault="00907380">
      <w:bookmarkStart w:id="17" w:name="sub_62"/>
      <w:bookmarkEnd w:id="16"/>
      <w: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000000" w:rsidRDefault="00907380">
      <w:bookmarkStart w:id="18" w:name="sub_63"/>
      <w:bookmarkEnd w:id="17"/>
      <w:r>
        <w:t>в) информация о практике применения норм</w:t>
      </w:r>
      <w:r>
        <w:t>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</w:t>
      </w:r>
      <w:r>
        <w:t>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000000" w:rsidRDefault="00907380">
      <w:bookmarkStart w:id="19" w:name="sub_64"/>
      <w:bookmarkEnd w:id="18"/>
      <w:r>
        <w:t>г) информация, поступившая из общественных, научных, право</w:t>
      </w:r>
      <w:r>
        <w:t>защитных и иных организаций;</w:t>
      </w:r>
    </w:p>
    <w:p w:rsidR="00000000" w:rsidRDefault="00907380">
      <w:bookmarkStart w:id="20" w:name="sub_65"/>
      <w:bookmarkEnd w:id="19"/>
      <w:r>
        <w:t>д) информация, почерпнутая из средств массовой информации;</w:t>
      </w:r>
    </w:p>
    <w:p w:rsidR="00000000" w:rsidRDefault="00907380">
      <w:bookmarkStart w:id="21" w:name="sub_66"/>
      <w:bookmarkEnd w:id="20"/>
      <w:r>
        <w:t>е) информация, поступившая от граждан;</w:t>
      </w:r>
    </w:p>
    <w:p w:rsidR="00000000" w:rsidRDefault="00907380">
      <w:bookmarkStart w:id="22" w:name="sub_67"/>
      <w:bookmarkEnd w:id="21"/>
      <w:r>
        <w:t>ж) информация, поступившая из иных источников.</w:t>
      </w:r>
    </w:p>
    <w:p w:rsidR="00000000" w:rsidRDefault="00907380">
      <w:bookmarkStart w:id="23" w:name="sub_7"/>
      <w:bookmarkEnd w:id="22"/>
      <w:r>
        <w:t>7. При осуществлении мониторинга пр</w:t>
      </w:r>
      <w:r>
        <w:t xml:space="preserve">авоприменения помимо видов информации, указанных в </w:t>
      </w:r>
      <w:hyperlink w:anchor="sub_63" w:history="1">
        <w:r>
          <w:rPr>
            <w:rStyle w:val="a4"/>
          </w:rPr>
          <w:t>подпунктах "в" - "ж" пункта 6</w:t>
        </w:r>
      </w:hyperlink>
      <w:r>
        <w:t xml:space="preserve"> настоящей методики, могут быть использованы в том числе следующие виды информации:</w:t>
      </w:r>
    </w:p>
    <w:p w:rsidR="00000000" w:rsidRDefault="00907380">
      <w:bookmarkStart w:id="24" w:name="sub_71"/>
      <w:bookmarkEnd w:id="23"/>
      <w:r>
        <w:t>а) статистическая информация, получаемая на основе статис</w:t>
      </w:r>
      <w:r>
        <w:t>тических показателей и дополняемая отраслевой статистикой органов государственной власти и иных государственных органов;</w:t>
      </w:r>
    </w:p>
    <w:p w:rsidR="00000000" w:rsidRDefault="00907380">
      <w:bookmarkStart w:id="25" w:name="sub_72"/>
      <w:bookmarkEnd w:id="24"/>
      <w:r>
        <w:t>б) социологическая информация, формируемая на основе социологических исследований.</w:t>
      </w:r>
    </w:p>
    <w:p w:rsidR="00000000" w:rsidRDefault="00907380">
      <w:bookmarkStart w:id="26" w:name="sub_8"/>
      <w:bookmarkEnd w:id="25"/>
      <w:r>
        <w:t>8. При осуществлении монитори</w:t>
      </w:r>
      <w:r>
        <w:t>нга правоприменения для обеспечения принятия (издания), изменения или признания утратившими силу (отмены) нормативных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000000" w:rsidRDefault="00907380">
      <w:bookmarkStart w:id="27" w:name="sub_81"/>
      <w:bookmarkEnd w:id="26"/>
      <w:r>
        <w:t>а) несоблюдение гарантированных прав, свобод и законных интересов человека и гражданина;</w:t>
      </w:r>
    </w:p>
    <w:p w:rsidR="00000000" w:rsidRDefault="00907380">
      <w:bookmarkStart w:id="28" w:name="sub_82"/>
      <w:bookmarkEnd w:id="27"/>
      <w: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</w:t>
      </w:r>
      <w:r>
        <w:t>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000000" w:rsidRDefault="00907380">
      <w:bookmarkStart w:id="29" w:name="sub_83"/>
      <w:bookmarkEnd w:id="28"/>
      <w:r>
        <w:t>в) несоблюдение пределов компетенции органа государственной власти, государственных органов и организаций при издании нормативного правового акта;</w:t>
      </w:r>
    </w:p>
    <w:p w:rsidR="00000000" w:rsidRDefault="00907380">
      <w:bookmarkStart w:id="30" w:name="sub_84"/>
      <w:bookmarkEnd w:id="29"/>
      <w:r>
        <w:t>г) искажение смысла положений федерального закона и (или) актов Президента Российской Феде</w:t>
      </w:r>
      <w:r>
        <w:t xml:space="preserve">рации, Правительства Российской Федерации, а также решений </w:t>
      </w:r>
      <w:r>
        <w:lastRenderedPageBreak/>
        <w:t>Конституционного Суда Российской Федерации и постановлений Европейского Суда по правам человека при принятии нормативного правового акта;</w:t>
      </w:r>
    </w:p>
    <w:p w:rsidR="00000000" w:rsidRDefault="00907380">
      <w:bookmarkStart w:id="31" w:name="sub_85"/>
      <w:bookmarkEnd w:id="30"/>
      <w:r>
        <w:t>д) несоответствие нормативного правового акта Р</w:t>
      </w:r>
      <w:r>
        <w:t>оссийской Федерации международным обязательствам Российской Федерации;</w:t>
      </w:r>
    </w:p>
    <w:p w:rsidR="00000000" w:rsidRDefault="00907380">
      <w:bookmarkStart w:id="32" w:name="sub_86"/>
      <w:bookmarkEnd w:id="31"/>
      <w:r>
        <w:t>е) наличие в нормативном правовом акте коррупциогенных факторов;</w:t>
      </w:r>
    </w:p>
    <w:p w:rsidR="00000000" w:rsidRDefault="00907380">
      <w:bookmarkStart w:id="33" w:name="sub_87"/>
      <w:bookmarkEnd w:id="32"/>
      <w:r>
        <w:t>ж) неполнота в правовом регулировании общественных отношений;</w:t>
      </w:r>
    </w:p>
    <w:p w:rsidR="00000000" w:rsidRDefault="00907380">
      <w:bookmarkStart w:id="34" w:name="sub_88"/>
      <w:bookmarkEnd w:id="33"/>
      <w:r>
        <w:t>з) коллизия норм права</w:t>
      </w:r>
      <w:r>
        <w:t>;</w:t>
      </w:r>
    </w:p>
    <w:p w:rsidR="00000000" w:rsidRDefault="00907380">
      <w:bookmarkStart w:id="35" w:name="sub_89"/>
      <w:bookmarkEnd w:id="34"/>
      <w:r>
        <w:t>и) наличие ошибок юридико-технического характера;</w:t>
      </w:r>
    </w:p>
    <w:p w:rsidR="00000000" w:rsidRDefault="00907380">
      <w:bookmarkStart w:id="36" w:name="sub_810"/>
      <w:bookmarkEnd w:id="35"/>
      <w:r>
        <w:t>к) использование положений нормативных правовых актов в качестве оснований совершения юридически значимых действий;</w:t>
      </w:r>
    </w:p>
    <w:p w:rsidR="00000000" w:rsidRDefault="00907380">
      <w:bookmarkStart w:id="37" w:name="sub_811"/>
      <w:bookmarkEnd w:id="36"/>
      <w:r>
        <w:t>л) искажение смысла положений нормативного правового акта при его применении;</w:t>
      </w:r>
    </w:p>
    <w:p w:rsidR="00000000" w:rsidRDefault="00907380">
      <w:bookmarkStart w:id="38" w:name="sub_812"/>
      <w:bookmarkEnd w:id="37"/>
      <w:r>
        <w:t>м) неправомерные или необоснованные решения, действия (бездействие) при применении нормативного правового акта;</w:t>
      </w:r>
    </w:p>
    <w:p w:rsidR="00000000" w:rsidRDefault="00907380">
      <w:bookmarkStart w:id="39" w:name="sub_813"/>
      <w:bookmarkEnd w:id="38"/>
      <w:r>
        <w:t>н) использование норм, позволяющих рас</w:t>
      </w:r>
      <w:r>
        <w:t>ширительно толковать компетенцию органов государственной власти и органов местного самоуправления;</w:t>
      </w:r>
    </w:p>
    <w:p w:rsidR="00000000" w:rsidRDefault="00907380">
      <w:bookmarkStart w:id="40" w:name="sub_814"/>
      <w:bookmarkEnd w:id="39"/>
      <w:r>
        <w:t>о) наличие (отсутствие) единообразной практики применения нормативных правовых актов;</w:t>
      </w:r>
    </w:p>
    <w:p w:rsidR="00000000" w:rsidRDefault="00907380">
      <w:bookmarkStart w:id="41" w:name="sub_815"/>
      <w:bookmarkEnd w:id="40"/>
      <w:r>
        <w:t>п) количество и содержание заявлений по воп</w:t>
      </w:r>
      <w:r>
        <w:t>росам разъяснения нормативного правового акта;</w:t>
      </w:r>
    </w:p>
    <w:p w:rsidR="00000000" w:rsidRDefault="00907380">
      <w:bookmarkStart w:id="42" w:name="sub_816"/>
      <w:bookmarkEnd w:id="41"/>
      <w:r>
        <w:t>р)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</w:t>
      </w:r>
      <w:r>
        <w:t>ования их принятия;</w:t>
      </w:r>
    </w:p>
    <w:p w:rsidR="00000000" w:rsidRDefault="00907380">
      <w:bookmarkStart w:id="43" w:name="sub_817"/>
      <w:bookmarkEnd w:id="42"/>
      <w:r>
        <w:t>с)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</w:t>
      </w:r>
      <w:r>
        <w:t>м смысла положений нормативного правового акта и нарушениями единообразия его применения;</w:t>
      </w:r>
    </w:p>
    <w:p w:rsidR="00000000" w:rsidRDefault="00907380">
      <w:bookmarkStart w:id="44" w:name="sub_818"/>
      <w:bookmarkEnd w:id="43"/>
      <w:r>
        <w:t>т)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</w:t>
      </w:r>
      <w:r>
        <w:t>ц к ответственности.</w:t>
      </w:r>
    </w:p>
    <w:p w:rsidR="00000000" w:rsidRDefault="00907380">
      <w:bookmarkStart w:id="45" w:name="sub_9"/>
      <w:bookmarkEnd w:id="44"/>
      <w:r>
        <w:t>9. В целях реализации антикоррупционной политики и устранения коррупциогенных факторов при осуществлении мониторинга правоприменения для обеспечения принятия (издания), изменения или признания утратившими силу (отмены) норм</w:t>
      </w:r>
      <w:r>
        <w:t>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000000" w:rsidRDefault="00907380">
      <w:bookmarkStart w:id="46" w:name="sub_91"/>
      <w:bookmarkEnd w:id="45"/>
      <w:r>
        <w:t>а) несоблюдение пределов компетенции органа государственной власти, государственных органов и орган</w:t>
      </w:r>
      <w:r>
        <w:t>изаций при издании нормативного правового акта;</w:t>
      </w:r>
    </w:p>
    <w:p w:rsidR="00000000" w:rsidRDefault="00907380">
      <w:bookmarkStart w:id="47" w:name="sub_92"/>
      <w:bookmarkEnd w:id="46"/>
      <w:r>
        <w:t>б) неправомерные или необоснованные решения, действия (бездействие) при применении нормативного правового акта;</w:t>
      </w:r>
    </w:p>
    <w:p w:rsidR="00000000" w:rsidRDefault="00907380">
      <w:bookmarkStart w:id="48" w:name="sub_93"/>
      <w:bookmarkEnd w:id="47"/>
      <w:r>
        <w:t>в) наличие в нормативном правовом акте коррупциогенных факторов;</w:t>
      </w:r>
    </w:p>
    <w:p w:rsidR="00000000" w:rsidRDefault="00907380">
      <w:bookmarkStart w:id="49" w:name="sub_94"/>
      <w:bookmarkEnd w:id="48"/>
      <w:r>
        <w:t>г) наиболее часто встречающиеся коррупциогенные факторы в нормативных правовых актах;</w:t>
      </w:r>
    </w:p>
    <w:p w:rsidR="00000000" w:rsidRDefault="00907380">
      <w:bookmarkStart w:id="50" w:name="sub_95"/>
      <w:bookmarkEnd w:id="49"/>
      <w:r>
        <w:t>д) количество коррупциогенных факторов, выявленных в нормативном правовом акте при проведении антикоррупционной экспертизы уполномоченным органом;</w:t>
      </w:r>
    </w:p>
    <w:p w:rsidR="00000000" w:rsidRDefault="00907380">
      <w:bookmarkStart w:id="51" w:name="sub_96"/>
      <w:bookmarkEnd w:id="50"/>
      <w:r>
        <w:t>е) количество коррупциогенных факторов, выявленных в нормативном правовом акте при проведении антикоррупционной экспертизы независимыми экспертами;</w:t>
      </w:r>
    </w:p>
    <w:p w:rsidR="00000000" w:rsidRDefault="00907380">
      <w:bookmarkStart w:id="52" w:name="sub_97"/>
      <w:bookmarkEnd w:id="51"/>
      <w:r>
        <w:t xml:space="preserve">ж) сроки приведения нормативных правовых актов в соответствие с </w:t>
      </w:r>
      <w:hyperlink r:id="rId9" w:history="1">
        <w:r>
          <w:rPr>
            <w:rStyle w:val="a4"/>
          </w:rPr>
          <w:t>антикоррупционным законодательством</w:t>
        </w:r>
      </w:hyperlink>
      <w:r>
        <w:t xml:space="preserve"> Российской Федерации;</w:t>
      </w:r>
    </w:p>
    <w:p w:rsidR="00000000" w:rsidRDefault="00907380">
      <w:bookmarkStart w:id="53" w:name="sub_98"/>
      <w:bookmarkEnd w:id="52"/>
      <w:r>
        <w:t xml:space="preserve">з) количество и содержание обращений (предложений, заявлений, жалоб) о </w:t>
      </w:r>
      <w:r>
        <w:lastRenderedPageBreak/>
        <w:t xml:space="preserve">несоответствии нормативного правового акта </w:t>
      </w:r>
      <w:hyperlink r:id="rId10" w:history="1">
        <w:r>
          <w:rPr>
            <w:rStyle w:val="a4"/>
          </w:rPr>
          <w:t>антикоррупционному законодате</w:t>
        </w:r>
        <w:r>
          <w:rPr>
            <w:rStyle w:val="a4"/>
          </w:rPr>
          <w:t>льству</w:t>
        </w:r>
      </w:hyperlink>
      <w:r>
        <w:t xml:space="preserve"> Российской Федерации, в том числе о наличии в нормативном правовом акте коррупциогенных факторов;</w:t>
      </w:r>
    </w:p>
    <w:p w:rsidR="00000000" w:rsidRDefault="00907380">
      <w:bookmarkStart w:id="54" w:name="sub_99"/>
      <w:bookmarkEnd w:id="53"/>
      <w:r>
        <w:t>и) количество и характер зафиксированных правонарушений в сфере действия нормативного правового акта, а также количество случаев привлеч</w:t>
      </w:r>
      <w:r>
        <w:t>ения виновных лиц к ответственности.</w:t>
      </w:r>
    </w:p>
    <w:p w:rsidR="00000000" w:rsidRDefault="00907380">
      <w:bookmarkStart w:id="55" w:name="sub_10"/>
      <w:bookmarkEnd w:id="54"/>
      <w:r>
        <w:t>10. В целях устранения противоречий между нормативными правовыми актами равной юридической силы при осуществлении мониторинга правоприменения для обеспечения принятия (издания), изменения или признания утрат</w:t>
      </w:r>
      <w:r>
        <w:t>ившими силу (отмены) нормативных правовых актов Российской Федерации обобщается, анализируется и оценивается информация о практике их применения по следующим показателям:</w:t>
      </w:r>
    </w:p>
    <w:p w:rsidR="00000000" w:rsidRDefault="00907380">
      <w:bookmarkStart w:id="56" w:name="sub_101"/>
      <w:bookmarkEnd w:id="55"/>
      <w:r>
        <w:t>а) наличие противоречий между нормативными правовыми актами общего харак</w:t>
      </w:r>
      <w:r>
        <w:t>тера и нормативными правовыми актами специального характера, регулирующими однородные отношения;</w:t>
      </w:r>
    </w:p>
    <w:p w:rsidR="00000000" w:rsidRDefault="00907380">
      <w:bookmarkStart w:id="57" w:name="sub_102"/>
      <w:bookmarkEnd w:id="56"/>
      <w:r>
        <w:t>б) наличие единой понятийно-терминологической системы в нормативных правовых актах;</w:t>
      </w:r>
    </w:p>
    <w:p w:rsidR="00000000" w:rsidRDefault="00907380">
      <w:bookmarkStart w:id="58" w:name="sub_103"/>
      <w:bookmarkEnd w:id="57"/>
      <w:r>
        <w:t>в) наличие дублирующих норм права в нормативных</w:t>
      </w:r>
      <w:r>
        <w:t xml:space="preserve"> правовых актах;</w:t>
      </w:r>
    </w:p>
    <w:p w:rsidR="00000000" w:rsidRDefault="00907380">
      <w:bookmarkStart w:id="59" w:name="sub_104"/>
      <w:bookmarkEnd w:id="58"/>
      <w:r>
        <w:t>г) наличие противоречий в нормативных правовых актах, регулирующих однородные отношения, принятых в разные периоды;</w:t>
      </w:r>
    </w:p>
    <w:p w:rsidR="00000000" w:rsidRDefault="00907380">
      <w:bookmarkStart w:id="60" w:name="sub_105"/>
      <w:bookmarkEnd w:id="59"/>
      <w:r>
        <w:t>д) наличие ошибок юридико-технического характера в нормативных правовых актах;</w:t>
      </w:r>
    </w:p>
    <w:p w:rsidR="00000000" w:rsidRDefault="00907380">
      <w:bookmarkStart w:id="61" w:name="sub_106"/>
      <w:bookmarkEnd w:id="60"/>
      <w:r>
        <w:t>е)</w:t>
      </w:r>
      <w:r>
        <w:t xml:space="preserve">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актов, наличия в них дублирующих норм и противоречий, а также ошибок юридико-технического характера.</w:t>
      </w:r>
    </w:p>
    <w:p w:rsidR="00000000" w:rsidRDefault="00907380">
      <w:bookmarkStart w:id="62" w:name="sub_11"/>
      <w:bookmarkEnd w:id="61"/>
      <w:r>
        <w:t xml:space="preserve">11. При необходимости мониторинг правоприменения может быть </w:t>
      </w:r>
      <w:hyperlink r:id="rId11" w:history="1">
        <w:r>
          <w:rPr>
            <w:rStyle w:val="a4"/>
          </w:rPr>
          <w:t>осуществлен</w:t>
        </w:r>
      </w:hyperlink>
      <w:r>
        <w:t xml:space="preserve"> по дополнительным показателям, определяемым федеральными органами исполнительной власти и органами государственной власти субъектов Российск</w:t>
      </w:r>
      <w:r>
        <w:t>ой Федерации.</w:t>
      </w:r>
    </w:p>
    <w:bookmarkEnd w:id="62"/>
    <w:p w:rsidR="00000000" w:rsidRDefault="0090738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80"/>
    <w:rsid w:val="009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09057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5954.888" TargetMode="External"/><Relationship Id="rId11" Type="http://schemas.openxmlformats.org/officeDocument/2006/relationships/hyperlink" Target="garantF1://70742080.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03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2020-09-18T08:04:00Z</dcterms:created>
  <dcterms:modified xsi:type="dcterms:W3CDTF">2020-09-18T08:04:00Z</dcterms:modified>
</cp:coreProperties>
</file>