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1B" w:rsidRPr="0009401B" w:rsidRDefault="0009401B" w:rsidP="0009401B">
      <w:pPr>
        <w:pStyle w:val="aa"/>
        <w:suppressAutoHyphens/>
        <w:ind w:left="7092" w:firstLine="696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09401B">
        <w:rPr>
          <w:rFonts w:ascii="Times New Roman" w:hAnsi="Times New Roman"/>
          <w:color w:val="000000"/>
          <w:kern w:val="3"/>
          <w:sz w:val="28"/>
          <w:szCs w:val="28"/>
        </w:rPr>
        <w:t>ПРОЕКТ</w:t>
      </w:r>
    </w:p>
    <w:p w:rsidR="0009401B" w:rsidRPr="0009401B" w:rsidRDefault="0009401B" w:rsidP="0009401B">
      <w:pPr>
        <w:suppressAutoHyphens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09401B" w:rsidRPr="0009401B" w:rsidRDefault="0009401B" w:rsidP="0009401B">
      <w:pPr>
        <w:suppressAutoHyphens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09401B" w:rsidRPr="0009401B" w:rsidRDefault="0009401B" w:rsidP="0009401B">
      <w:pPr>
        <w:suppressAutoHyphens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09401B" w:rsidRPr="0009401B" w:rsidRDefault="0009401B" w:rsidP="0009401B">
      <w:pPr>
        <w:suppressAutoHyphens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_________                     </w:t>
      </w:r>
      <w:r w:rsidR="00885DC5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</w:t>
      </w: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г. Черкесск                        </w:t>
      </w:r>
      <w:r w:rsidR="00885DC5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                   </w:t>
      </w:r>
      <w:r w:rsidRPr="0009401B">
        <w:rPr>
          <w:rFonts w:ascii="Times New Roman" w:hAnsi="Times New Roman" w:cs="Times New Roman"/>
          <w:color w:val="000000"/>
          <w:kern w:val="3"/>
          <w:sz w:val="28"/>
          <w:szCs w:val="28"/>
        </w:rPr>
        <w:t>№___</w:t>
      </w:r>
    </w:p>
    <w:p w:rsidR="0009401B" w:rsidRPr="004E294D" w:rsidRDefault="00CD0781" w:rsidP="0009401B">
      <w:pPr>
        <w:tabs>
          <w:tab w:val="left" w:pos="1035"/>
        </w:tabs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       </w:t>
      </w:r>
      <w:r w:rsidR="0009401B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внесении изменений в постановление Правительства Карачаево-Черкесской Республики от 17 декабря 2019 № 296 «Об утверждении Порядка предоставления субсидий из бюджета Карачаево-Черкесской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кооперации».</w:t>
      </w:r>
    </w:p>
    <w:p w:rsidR="0009401B" w:rsidRPr="004E294D" w:rsidRDefault="0009401B" w:rsidP="000940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постановлением Правительства Российской Федерации  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Правительство Карачаево-Черкесской Республики </w:t>
      </w:r>
    </w:p>
    <w:p w:rsidR="0009401B" w:rsidRPr="004E294D" w:rsidRDefault="0009401B" w:rsidP="0009401B">
      <w:pPr>
        <w:tabs>
          <w:tab w:val="left" w:pos="1035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09401B" w:rsidRPr="004E294D" w:rsidRDefault="0009401B" w:rsidP="0009401B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 xml:space="preserve">ПОСТАНОВЛЯЕТ:                                   </w:t>
      </w:r>
    </w:p>
    <w:p w:rsidR="00956414" w:rsidRPr="004E294D" w:rsidRDefault="0009401B" w:rsidP="0095641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>Внести в постановлени</w:t>
      </w:r>
      <w:r w:rsidR="00B637F1">
        <w:rPr>
          <w:rFonts w:ascii="Times New Roman" w:hAnsi="Times New Roman" w:cs="Times New Roman"/>
          <w:sz w:val="27"/>
          <w:szCs w:val="27"/>
        </w:rPr>
        <w:t>е</w:t>
      </w:r>
      <w:r w:rsidRPr="004E294D">
        <w:rPr>
          <w:rFonts w:ascii="Times New Roman" w:hAnsi="Times New Roman" w:cs="Times New Roman"/>
          <w:sz w:val="27"/>
          <w:szCs w:val="27"/>
        </w:rPr>
        <w:t xml:space="preserve"> Правительства Карачаево-Черкесской Республики</w:t>
      </w:r>
      <w:r w:rsidR="00B560F5" w:rsidRPr="004E294D">
        <w:rPr>
          <w:rFonts w:ascii="Times New Roman" w:hAnsi="Times New Roman" w:cs="Times New Roman"/>
          <w:sz w:val="27"/>
          <w:szCs w:val="27"/>
        </w:rPr>
        <w:t xml:space="preserve"> от 17 декабря 2019</w:t>
      </w:r>
      <w:r w:rsidRPr="004E294D">
        <w:rPr>
          <w:rFonts w:ascii="Times New Roman" w:hAnsi="Times New Roman" w:cs="Times New Roman"/>
          <w:sz w:val="27"/>
          <w:szCs w:val="27"/>
        </w:rPr>
        <w:t xml:space="preserve"> № 296 «Об утверждении Порядка предоставления субсидий из бюджета Карачаево-Черкесской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кооперации» (в редакции постановлений Правительства Карачаево-Черкесской Республики от 17 декабря 2019 № 296) следующие изменения:</w:t>
      </w:r>
    </w:p>
    <w:p w:rsidR="00956414" w:rsidRPr="004E294D" w:rsidRDefault="00956414" w:rsidP="0095641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 xml:space="preserve">1. </w:t>
      </w:r>
      <w:r w:rsidR="003C419A" w:rsidRPr="004E294D">
        <w:rPr>
          <w:rFonts w:ascii="Times New Roman" w:hAnsi="Times New Roman" w:cs="Times New Roman"/>
          <w:sz w:val="27"/>
          <w:szCs w:val="27"/>
        </w:rPr>
        <w:t xml:space="preserve">Преамбулу </w:t>
      </w:r>
      <w:r w:rsidR="003C419A" w:rsidRPr="004E294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постановления </w:t>
      </w:r>
      <w:r w:rsidR="003C419A" w:rsidRPr="004E294D">
        <w:rPr>
          <w:rFonts w:ascii="Times New Roman" w:hAnsi="Times New Roman" w:cs="Times New Roman"/>
          <w:sz w:val="27"/>
          <w:szCs w:val="27"/>
        </w:rPr>
        <w:t>изложить в следующей редакций</w:t>
      </w:r>
      <w:r w:rsidR="007678E1" w:rsidRPr="004E294D">
        <w:rPr>
          <w:rFonts w:ascii="Times New Roman" w:hAnsi="Times New Roman" w:cs="Times New Roman"/>
          <w:sz w:val="27"/>
          <w:szCs w:val="27"/>
        </w:rPr>
        <w:t>:</w:t>
      </w:r>
      <w:r w:rsidRPr="004E294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6414" w:rsidRPr="004E294D" w:rsidRDefault="00341D26" w:rsidP="0095641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>«</w:t>
      </w:r>
      <w:r w:rsidR="007678E1" w:rsidRPr="004E294D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Федераций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 </w:t>
      </w:r>
    </w:p>
    <w:p w:rsidR="00956414" w:rsidRPr="004E294D" w:rsidRDefault="00956414" w:rsidP="0095641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 xml:space="preserve">2. </w:t>
      </w:r>
      <w:r w:rsidR="007678E1" w:rsidRPr="004E294D">
        <w:rPr>
          <w:rFonts w:ascii="Times New Roman" w:hAnsi="Times New Roman" w:cs="Times New Roman"/>
          <w:sz w:val="27"/>
          <w:szCs w:val="27"/>
        </w:rPr>
        <w:t>В приложении к постановлению:</w:t>
      </w:r>
    </w:p>
    <w:p w:rsidR="007678E1" w:rsidRPr="00B34C6B" w:rsidRDefault="007678E1" w:rsidP="00B34C6B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E294D">
        <w:rPr>
          <w:rFonts w:ascii="Times New Roman" w:hAnsi="Times New Roman" w:cs="Times New Roman"/>
          <w:sz w:val="27"/>
          <w:szCs w:val="27"/>
        </w:rPr>
        <w:t>2.1 Пункт 1</w:t>
      </w:r>
      <w:r w:rsidR="00341D26" w:rsidRPr="004E294D">
        <w:rPr>
          <w:rFonts w:ascii="Times New Roman" w:hAnsi="Times New Roman" w:cs="Times New Roman"/>
          <w:sz w:val="27"/>
          <w:szCs w:val="27"/>
        </w:rPr>
        <w:t xml:space="preserve"> </w:t>
      </w:r>
      <w:r w:rsidRPr="004E294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876784" w:rsidRPr="004E294D" w:rsidRDefault="00876784" w:rsidP="00876784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«1.</w:t>
      </w:r>
      <w:r w:rsidR="00341D26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Настоящий Порядок устанавливает условия, цели и порядок </w:t>
      </w:r>
      <w:bookmarkStart w:id="0" w:name="_GoBack"/>
      <w:bookmarkEnd w:id="0"/>
      <w:r w:rsidR="007678E1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предоставления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субсидий из бюджета Карачаево-Черкесской Республики на возмещение части затрат сельскохозяйственным потребительским кооперативам в рамках создания системы поддержки фермеров</w:t>
      </w:r>
      <w:r w:rsidR="007678E1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развития сельской кооперации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рамках реализации регионального проекта «Система поддержки фермеров и развитие сельской кооперации» входящего в состав Национального проекта «Малое и среднее предпринимательство и поддержка индивидуальной предпринимательской инициативы»</w:t>
      </w:r>
      <w:r w:rsidR="00DB362A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,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в соответствии с постановлением 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>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</w:t>
      </w:r>
      <w:r w:rsidR="00B560F5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рья и продовольствия» (далее - 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Порядок, средства).</w:t>
      </w:r>
    </w:p>
    <w:p w:rsidR="00E35D13" w:rsidRPr="004E294D" w:rsidRDefault="00E35D13" w:rsidP="00876784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2.2.</w:t>
      </w:r>
      <w:r w:rsidRPr="004E294D">
        <w:rPr>
          <w:sz w:val="27"/>
          <w:szCs w:val="27"/>
        </w:rPr>
        <w:t xml:space="preserve"> 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Пункт 5 изложить в следующей редакции:</w:t>
      </w:r>
    </w:p>
    <w:p w:rsidR="00941D93" w:rsidRPr="004E294D" w:rsidRDefault="00E35D13" w:rsidP="00941D93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«5.</w:t>
      </w:r>
      <w:r w:rsidR="00341D26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941D93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Субсидии предоставляются сельскохозяйственным потребительским кооперативам на возмещение части затрат, понесенных в текущем финансовом году:</w:t>
      </w:r>
    </w:p>
    <w:p w:rsidR="00941D93" w:rsidRPr="004E294D" w:rsidRDefault="00941D93" w:rsidP="00941D9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5.1. связанных с приобретением имущества в целях последующей передачи (реализации) приобретенного имущества в собственность членов (кроме ассоциированных членов)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определяется Министерством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данного имущества;</w:t>
      </w:r>
    </w:p>
    <w:p w:rsidR="00941D93" w:rsidRPr="004E294D" w:rsidRDefault="00941D93" w:rsidP="00941D9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5.2. 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собственности, - в размере, не превышающем 50 процентов затрат, но не более 10 млн. рублей из расчета на один сельскохозяйственный потребительский кооператив. Стоимость крупного рогатого скота,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приобретаемого поголовья. Возраст приобретаемого крупного рогатого скота не должен превышать 2 года. Порядок замены крупного рогатого скота, больного или инфицированного лейкозом, принадлежащего членам (кроме ассоциированных членов) сельскохозяйственного потребительского кооператива, устанавливается Приказом Министерства;</w:t>
      </w:r>
    </w:p>
    <w:p w:rsidR="00941D93" w:rsidRPr="004E294D" w:rsidRDefault="00941D93" w:rsidP="00941D9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5.3. связанных 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 из расчета на один сельскохозяйственный потребительский кооператив. Перечень таких техники и объектов определяется нормативным правовым актом Министерством. Срок эксплуатации таких техники, оборудования и объектов на день получения средств не должен превышать 3 года с года его производства. </w:t>
      </w:r>
    </w:p>
    <w:p w:rsidR="00941D93" w:rsidRPr="004E294D" w:rsidRDefault="00941D93" w:rsidP="006B118E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При этом источником возмещения затрат сельскохозяйственного потребительского кооператива, предусмотренных настоящим пунктом, не могут быть средства, полученные крестьянским (фермерским) хозяйством в соответствии с пунктом 4 </w:t>
      </w:r>
      <w:r w:rsidR="006B118E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кооперации»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приложения 6 к Государственной программе развития сельского хозяйства и регулирования рынков сельскохозяйственной продукции, сырья и продовольствия (в редакции постановления Правительства Российской Федерации от 18 декабря 2019  №1706).</w:t>
      </w:r>
    </w:p>
    <w:p w:rsidR="00941D93" w:rsidRPr="004E294D" w:rsidRDefault="00941D93" w:rsidP="00941D93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Допускается направление средств, предоставленных сельскохозяйственному потребительскому кооперативу, в соответствии с </w:t>
      </w:r>
      <w:r w:rsidR="00C50B17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подпунктами 5.2 и 5.3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настоящего пункта, на погашение основного долга по кредитам, полученным в российских кредитных организациях на приобретение имущества, техники и объектов, указанных в </w:t>
      </w:r>
      <w:r w:rsidR="0087678F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подпунктах 5.2 и 5.3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настоящего пункта, в соответствии с постановлением Правительства Российской Федерации от 29 декабря 2016  № 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«Банк развития и внешнеэкономической деятельности (Внешэкономбанк)»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ставке. 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5.4. связанных с закупкой сельскохозяйственной продукции у членов сельскохозяйственного потребительского кооператива (кроме ассоциированных членов), - в размере, не превышающем: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 рублей до 2500 тыс. рублей включительно;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 рублей до 5000 тыс. рублей включительно;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составляет от 5001 тыс. рублей до 10000 тыс. рублей включительно. В случае если выручка сельскохозяйственного потребительского кооператива от реализации продукции, закупленной у членов сельскохозяйственного потребительского кооператива по итогам отчетного бухгалтерского периода (квартала) текущего финансового года, составляет более 10001 тыс. рублей, возмещение части затрат, связанных с закупкой сельскохозяйственной продукции у членов сельскохозяйственного потребительского кооператива, осуществляется из расчета указанного максимального размера выручки.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5.5. 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5.6.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IV квартал отчетного финансового года осуществляется в I квартале года, следующего за отчетным годом.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5.7.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5.8. Для целей подпункта 5.4 настоящего пункта к сельскохозяйственной продукции относится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 января 2017 № 79-р.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5.9. Возмещение затрат сельскохозяйственных потребительских кооперативов, предусмотренных настоящим пунктом, за счет иных направлений государственной поддержки не допускается.</w:t>
      </w:r>
    </w:p>
    <w:p w:rsidR="0087678F" w:rsidRPr="004E294D" w:rsidRDefault="0087678F" w:rsidP="0087678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5.10. Приобретение имущества, техники и объектов, указанных в подпунктах 5.1 и 5.3 настоящего пункта, сельскохозяйственным потребительским кооперативом у своих членов (в том числе ассоциированных) не допускается.</w:t>
      </w:r>
      <w:r w:rsidR="00E35D13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:rsidR="00CD0781" w:rsidRDefault="00614609" w:rsidP="00941D93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lastRenderedPageBreak/>
        <w:t xml:space="preserve"> </w:t>
      </w:r>
      <w:r w:rsidR="00C44BBC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2.3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="00CD0781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Подпункт 8.2 пункта 8 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настоящего Порядка </w:t>
      </w:r>
      <w:r w:rsidR="00CD0781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дополнить следующими словами «(в случае если кооператив зарегистрирован более одного</w:t>
      </w: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финансового</w:t>
      </w:r>
      <w:r w:rsidR="00CD0781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года)».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. Пункт 8 дополнить подпунктом 8.3.1. следующего содержания: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«8.3.1. При предоставлении субсидии в соответствии с пунктом 5.2. настоящего Порядка: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справка о количестве членов кооператива, утвержденная председателем кооператива, с указанием количественного изменения членской базы за последний отчетный период;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копии договоров купли-продажи, акты приема-передачи;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копии товарно-транспортных накладных или иных документов о передаче товаров;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копии расчетных платежных документов (платежные поручения, квитанции к приходному кассовому ордеру), подтверждающие оплату имущества в полном объеме;</w:t>
      </w:r>
    </w:p>
    <w:p w:rsidR="007C608C" w:rsidRPr="007C608C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справка от ветеринарной службы о наличии больного или инфицированного лейкозом крупного рогатого скота, принадлежащего членам (кроме ассоциированных членов) указанного сельскохозяйственного потребительского кооператива.</w:t>
      </w:r>
    </w:p>
    <w:p w:rsidR="007C608C" w:rsidRPr="004E294D" w:rsidRDefault="007C608C" w:rsidP="007C608C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Справка от ветеринарной службы о ветеринарно-санитарном благополучии приобретенного взамен инфицированного лейкозом крупного рогатого скота, принадлежащего членам (кроме ассоциированных членов) указанного сельскохозяйственного потребительского кооператива.</w:t>
      </w:r>
    </w:p>
    <w:p w:rsidR="0024057E" w:rsidRPr="004E294D" w:rsidRDefault="00C44BBC" w:rsidP="00941D93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2.</w:t>
      </w:r>
      <w:r w:rsid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5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п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одпункт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е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8.4 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пункта 8 настоящего Порядка 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заменить слова 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пунктом 5.2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 слова 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пунктом 5.3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24057E" w:rsidRPr="004E294D" w:rsidRDefault="00C44BBC" w:rsidP="00941D93">
      <w:pPr>
        <w:pStyle w:val="aa"/>
        <w:shd w:val="clear" w:color="auto" w:fill="FFFFFF"/>
        <w:spacing w:after="0"/>
        <w:ind w:left="142" w:firstLine="56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2.</w:t>
      </w:r>
      <w:r w:rsidR="007C608C">
        <w:rPr>
          <w:rFonts w:ascii="Times New Roman" w:eastAsia="Times New Roman" w:hAnsi="Times New Roman"/>
          <w:bCs/>
          <w:sz w:val="27"/>
          <w:szCs w:val="27"/>
          <w:lang w:eastAsia="ru-RU"/>
        </w:rPr>
        <w:t>6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п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одпункт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е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8.5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пу</w:t>
      </w:r>
      <w:r w:rsidR="001F425F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н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кта</w:t>
      </w:r>
      <w:r w:rsidR="001F425F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614609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8 настоящего Порядка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заменить слова 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пунктом 5.3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на слова 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в соответствии с пунктом 5.4</w:t>
      </w:r>
      <w:r w:rsidR="003A1100"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  <w:r w:rsidR="0024057E" w:rsidRPr="004E294D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130D1B" w:rsidRPr="004E294D" w:rsidRDefault="00130D1B" w:rsidP="00130D1B">
      <w:pPr>
        <w:shd w:val="clear" w:color="auto" w:fill="FFFFFF"/>
        <w:spacing w:after="0"/>
        <w:ind w:left="675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2.7. Абзац второй пункта 19 изложить в следующей редакции:</w:t>
      </w:r>
    </w:p>
    <w:p w:rsidR="00130D1B" w:rsidRPr="004E294D" w:rsidRDefault="00130D1B" w:rsidP="007C2506">
      <w:pPr>
        <w:shd w:val="clear" w:color="auto" w:fill="FFFFFF"/>
        <w:spacing w:after="0"/>
        <w:ind w:firstLine="675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«Нарушения получателями субсидий условий, установленных при их предоставлении и недостижения показателей указанных в пункте </w:t>
      </w:r>
      <w:r w:rsidR="007E6032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настоящего Порядка, </w:t>
      </w:r>
      <w:r w:rsidR="007C608C" w:rsidRPr="007C60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оформленных актом по 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результатам проверок, проведенных Министерством и (или) органами государственного финансового контроля</w:t>
      </w:r>
      <w:r w:rsidR="002B73D5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BD5110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130D1B" w:rsidRPr="004E294D" w:rsidRDefault="00130D1B" w:rsidP="00130D1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2.8. Пункт 20 изложить в следующей редакции:</w:t>
      </w:r>
    </w:p>
    <w:p w:rsidR="00130D1B" w:rsidRPr="004E294D" w:rsidRDefault="002B73D5" w:rsidP="00BD511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130D1B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«Возврат субсидии осуществляется в следующем порядке:</w:t>
      </w:r>
    </w:p>
    <w:p w:rsidR="00130D1B" w:rsidRPr="004E294D" w:rsidRDefault="00130D1B" w:rsidP="00130D1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После выявления </w:t>
      </w:r>
      <w:r w:rsidR="00B637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нарушений получателем субсидии условий</w:t>
      </w:r>
      <w:r w:rsidR="004A49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целей</w:t>
      </w:r>
      <w:r w:rsidR="00B637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настоящего Порядка, заключенного Соглашения, и других нарушений, оформленны</w:t>
      </w:r>
      <w:r w:rsidR="004A49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</w:t>
      </w:r>
      <w:r w:rsidR="00B637F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актом по результатам проверки </w:t>
      </w:r>
      <w:r w:rsidR="004A49A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Министерством сельского хозяйства Карачаево-Черкесской Республики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проведенной проверки или получения предписания, направляет получателю требование о возврате субсидии;</w:t>
      </w:r>
    </w:p>
    <w:p w:rsidR="00130D1B" w:rsidRPr="004E294D" w:rsidRDefault="00130D1B" w:rsidP="00130D1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Получатель осуществляет возврат субсидии в течение 30 календарных дней со дня получения требования о возврате субсидии;</w:t>
      </w:r>
    </w:p>
    <w:p w:rsidR="00130D1B" w:rsidRPr="004E294D" w:rsidRDefault="00130D1B" w:rsidP="00130D1B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нарушении получателем установленного срока возврата субсидии Министерство принимает меры по взысканию указанных средств в республиканский бюджет в судебном порядке.»</w:t>
      </w:r>
      <w:r w:rsidR="00BD5110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3228F2" w:rsidRPr="004E294D" w:rsidRDefault="00130D1B" w:rsidP="00C44BBC">
      <w:pPr>
        <w:shd w:val="clear" w:color="auto" w:fill="FFFFFF"/>
        <w:spacing w:after="0"/>
        <w:ind w:left="675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2.9</w:t>
      </w:r>
      <w:r w:rsidR="00C44BBC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341D26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228F2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Пункт 21 изложить в следующей редакции:</w:t>
      </w:r>
    </w:p>
    <w:p w:rsidR="003228F2" w:rsidRPr="004E294D" w:rsidRDefault="003228F2" w:rsidP="0015615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«21. Для оценки эффективности использования субсидии Карачаево-Черкесской Республикой применяются следующие значения результатов использования субсидии:</w:t>
      </w:r>
    </w:p>
    <w:p w:rsidR="003228F2" w:rsidRPr="004E294D" w:rsidRDefault="003228F2" w:rsidP="004E294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количество сельскохозяйственных потребительских кооперативов, получивших государственную поддержку, в том числе в рамках федерального проекта единиц.».</w:t>
      </w:r>
    </w:p>
    <w:p w:rsidR="003228F2" w:rsidRPr="004E294D" w:rsidRDefault="00C44BBC" w:rsidP="004E294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130D1B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</w:t>
      </w: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341D26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3228F2"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Дополнить пунктом 22 следующего содержания:</w:t>
      </w:r>
    </w:p>
    <w:p w:rsidR="003228F2" w:rsidRPr="004E294D" w:rsidRDefault="003228F2" w:rsidP="004E294D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E29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«22. Министерство несет ответственность за осуществление расходов республиканского бюджета Карачаево-Черкесской Республики, направляемых на выплату субсидий, в соответствии с законодательством Российской Федерации.». </w:t>
      </w:r>
    </w:p>
    <w:p w:rsidR="00C12D5C" w:rsidRDefault="00C12D5C" w:rsidP="00CD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E294D" w:rsidRPr="004E294D" w:rsidRDefault="004E294D" w:rsidP="00CD07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40553" w:rsidRDefault="00640553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40553" w:rsidRDefault="00640553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Председатель Правительства</w:t>
      </w:r>
    </w:p>
    <w:p w:rsidR="003228F2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Республики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 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</w:t>
      </w:r>
      <w:r w:rsidR="000401E4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>А.А. Озов</w:t>
      </w:r>
    </w:p>
    <w:p w:rsidR="0009401B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Проект согласован:</w:t>
      </w:r>
    </w:p>
    <w:p w:rsidR="00C12D5C" w:rsidRDefault="00C12D5C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34C6B" w:rsidRPr="004E294D" w:rsidRDefault="00B34C6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12D5C" w:rsidRPr="004E294D" w:rsidRDefault="006368A7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Проект согласован</w:t>
      </w:r>
    </w:p>
    <w:p w:rsidR="006368A7" w:rsidRDefault="006368A7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94D" w:rsidRPr="004E294D" w:rsidRDefault="004E294D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Руководитель Администрации</w:t>
      </w:r>
    </w:p>
    <w:p w:rsidR="0009401B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Главы и Правительства</w:t>
      </w:r>
    </w:p>
    <w:p w:rsidR="0009401B" w:rsidRPr="004E294D" w:rsidRDefault="0009401B" w:rsidP="00CD0781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Республики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</w:t>
      </w:r>
      <w:r w:rsidR="000401E4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       </w:t>
      </w:r>
      <w:r w:rsidR="003228F2" w:rsidRPr="004E294D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М. Н. Озов                                  </w:t>
      </w:r>
    </w:p>
    <w:p w:rsidR="00885DC5" w:rsidRDefault="00885DC5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94D" w:rsidRPr="004E294D" w:rsidRDefault="004E294D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14609" w:rsidRPr="004E294D" w:rsidRDefault="00614609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Первый заместитель </w:t>
      </w:r>
    </w:p>
    <w:p w:rsidR="00614609" w:rsidRPr="004E294D" w:rsidRDefault="00614609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Председателя Правительства</w:t>
      </w:r>
    </w:p>
    <w:p w:rsidR="00614609" w:rsidRPr="004E294D" w:rsidRDefault="00614609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Республики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4E294D">
        <w:rPr>
          <w:rFonts w:ascii="Times New Roman" w:hAnsi="Times New Roman" w:cs="Times New Roman"/>
          <w:bCs/>
          <w:sz w:val="27"/>
          <w:szCs w:val="27"/>
        </w:rPr>
        <w:t>Р.А. Тамбиев</w:t>
      </w:r>
    </w:p>
    <w:p w:rsidR="00034750" w:rsidRDefault="00034750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34C6B" w:rsidRDefault="00B34C6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34C6B" w:rsidRDefault="00B34C6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40553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Первый заместитель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Председателя Правительства</w:t>
      </w:r>
    </w:p>
    <w:p w:rsidR="0009401B" w:rsidRPr="004E294D" w:rsidRDefault="0009401B" w:rsidP="003228F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Карачаево-Черкесской Республики   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94D">
        <w:rPr>
          <w:rFonts w:ascii="Times New Roman" w:hAnsi="Times New Roman" w:cs="Times New Roman"/>
          <w:bCs/>
          <w:sz w:val="27"/>
          <w:szCs w:val="27"/>
        </w:rPr>
        <w:t>Х.У. Чеккуев</w:t>
      </w:r>
    </w:p>
    <w:p w:rsidR="0009401B" w:rsidRPr="004E294D" w:rsidRDefault="0009401B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Заместитель 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Председателя Правительства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есской Республики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ab/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</w:t>
      </w:r>
      <w:r w:rsidR="003228F2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4E294D">
        <w:rPr>
          <w:rFonts w:ascii="Times New Roman" w:hAnsi="Times New Roman" w:cs="Times New Roman"/>
          <w:bCs/>
          <w:sz w:val="27"/>
          <w:szCs w:val="27"/>
        </w:rPr>
        <w:t>Е.С. Поляков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3228F2" w:rsidRPr="004E294D" w:rsidRDefault="003228F2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401B" w:rsidRPr="004E294D" w:rsidRDefault="0009401B" w:rsidP="00322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Заместитель Председателя Правительства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Республики,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Министр финансов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Карачаево-Черкесской Республики                         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М. Х. Суюнчев </w:t>
      </w:r>
    </w:p>
    <w:p w:rsidR="00185D17" w:rsidRDefault="00185D17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94D" w:rsidRPr="004E294D" w:rsidRDefault="004E294D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Заместитель Руководителя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Администрации Главы и Правительства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Республики,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Начальник Управления документационного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обеспечения Главы и Правительства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Карачаево-Черкесской Республики    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ab/>
        <w:t xml:space="preserve">            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4E294D">
        <w:rPr>
          <w:rFonts w:ascii="Times New Roman" w:hAnsi="Times New Roman" w:cs="Times New Roman"/>
          <w:bCs/>
          <w:sz w:val="27"/>
          <w:szCs w:val="27"/>
        </w:rPr>
        <w:t>Ф.Я. Астежева</w:t>
      </w:r>
    </w:p>
    <w:p w:rsidR="0009401B" w:rsidRDefault="0009401B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Министр экономического развития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Карачаево-Черкесской Республики                           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3228F2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А. Х. </w:t>
      </w:r>
      <w:hyperlink r:id="rId9" w:history="1">
        <w:r w:rsidRPr="004E294D">
          <w:rPr>
            <w:rFonts w:ascii="Times New Roman" w:hAnsi="Times New Roman" w:cs="Times New Roman"/>
            <w:bCs/>
            <w:color w:val="000000"/>
            <w:sz w:val="27"/>
            <w:szCs w:val="27"/>
          </w:rPr>
          <w:t>Накохов</w:t>
        </w:r>
      </w:hyperlink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401B" w:rsidRPr="004E294D" w:rsidRDefault="0009401B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Начальник Государственно-правового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>Управления Главы и Правительства</w:t>
      </w:r>
    </w:p>
    <w:p w:rsidR="0009401B" w:rsidRPr="004E294D" w:rsidRDefault="0009401B" w:rsidP="003228F2">
      <w:pPr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Карачаево-Черкесской Республики                          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4E294D">
        <w:rPr>
          <w:rFonts w:ascii="Times New Roman" w:hAnsi="Times New Roman" w:cs="Times New Roman"/>
          <w:bCs/>
          <w:sz w:val="27"/>
          <w:szCs w:val="27"/>
        </w:rPr>
        <w:t>А. А. Тлишев</w:t>
      </w:r>
    </w:p>
    <w:p w:rsidR="0009401B" w:rsidRPr="004E294D" w:rsidRDefault="0009401B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ab/>
      </w:r>
    </w:p>
    <w:p w:rsidR="0009401B" w:rsidRPr="004E294D" w:rsidRDefault="003228F2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="0009401B" w:rsidRPr="004E294D">
        <w:rPr>
          <w:rFonts w:ascii="Times New Roman" w:hAnsi="Times New Roman" w:cs="Times New Roman"/>
          <w:bCs/>
          <w:sz w:val="27"/>
          <w:szCs w:val="27"/>
        </w:rPr>
        <w:t xml:space="preserve">Проект подготовлен Министерством сельского хозяйства Карачаево-Черкесской Республики  </w:t>
      </w:r>
    </w:p>
    <w:p w:rsidR="0009401B" w:rsidRPr="004E294D" w:rsidRDefault="0009401B" w:rsidP="0009401B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09401B" w:rsidRPr="004E294D" w:rsidRDefault="0009401B" w:rsidP="003228F2">
      <w:pPr>
        <w:spacing w:after="0"/>
        <w:ind w:hanging="142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Министр сельского хозяйства</w:t>
      </w:r>
    </w:p>
    <w:p w:rsidR="0009401B" w:rsidRPr="004E294D" w:rsidRDefault="0009401B" w:rsidP="003228F2">
      <w:pPr>
        <w:spacing w:after="0"/>
        <w:ind w:left="-142" w:hanging="284"/>
        <w:rPr>
          <w:rFonts w:ascii="Times New Roman" w:hAnsi="Times New Roman" w:cs="Times New Roman"/>
          <w:bCs/>
          <w:sz w:val="27"/>
          <w:szCs w:val="27"/>
        </w:rPr>
      </w:pPr>
      <w:r w:rsidRPr="004E294D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3228F2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E294D">
        <w:rPr>
          <w:rFonts w:ascii="Times New Roman" w:hAnsi="Times New Roman" w:cs="Times New Roman"/>
          <w:bCs/>
          <w:sz w:val="27"/>
          <w:szCs w:val="27"/>
        </w:rPr>
        <w:t>Карачаево-Черкесской Респ</w:t>
      </w:r>
      <w:bookmarkStart w:id="1" w:name="sub_1"/>
      <w:r w:rsidRPr="004E294D">
        <w:rPr>
          <w:rFonts w:ascii="Times New Roman" w:hAnsi="Times New Roman" w:cs="Times New Roman"/>
          <w:bCs/>
          <w:sz w:val="27"/>
          <w:szCs w:val="27"/>
        </w:rPr>
        <w:t xml:space="preserve">ублики                              </w:t>
      </w:r>
      <w:r w:rsidR="003228F2" w:rsidRPr="004E294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               </w:t>
      </w:r>
      <w:r w:rsidR="00341D26"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885DC5" w:rsidRPr="004E294D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BB1E2E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064ACD" w:rsidRPr="004E294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4E294D">
        <w:rPr>
          <w:rFonts w:ascii="Times New Roman" w:hAnsi="Times New Roman" w:cs="Times New Roman"/>
          <w:bCs/>
          <w:sz w:val="27"/>
          <w:szCs w:val="27"/>
        </w:rPr>
        <w:t>А.А. Боташев</w:t>
      </w:r>
      <w:r w:rsidRPr="004E294D">
        <w:rPr>
          <w:rFonts w:eastAsia="Times New Roman"/>
          <w:sz w:val="27"/>
          <w:szCs w:val="27"/>
        </w:rPr>
        <w:t xml:space="preserve"> </w:t>
      </w:r>
      <w:bookmarkEnd w:id="1"/>
    </w:p>
    <w:sectPr w:rsidR="0009401B" w:rsidRPr="004E294D" w:rsidSect="006368A7">
      <w:footerReference w:type="default" r:id="rId10"/>
      <w:pgSz w:w="11900" w:h="16800"/>
      <w:pgMar w:top="1418" w:right="851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81" w:rsidRDefault="00580681" w:rsidP="0009401B">
      <w:pPr>
        <w:spacing w:after="0" w:line="240" w:lineRule="auto"/>
      </w:pPr>
      <w:r>
        <w:separator/>
      </w:r>
    </w:p>
  </w:endnote>
  <w:endnote w:type="continuationSeparator" w:id="0">
    <w:p w:rsidR="00580681" w:rsidRDefault="00580681" w:rsidP="0009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697" w:rsidRDefault="006E518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81" w:rsidRDefault="00580681" w:rsidP="0009401B">
      <w:pPr>
        <w:spacing w:after="0" w:line="240" w:lineRule="auto"/>
      </w:pPr>
      <w:r>
        <w:separator/>
      </w:r>
    </w:p>
  </w:footnote>
  <w:footnote w:type="continuationSeparator" w:id="0">
    <w:p w:rsidR="00580681" w:rsidRDefault="00580681" w:rsidP="00094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B14"/>
    <w:multiLevelType w:val="multilevel"/>
    <w:tmpl w:val="0D4EB0C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7D642D48"/>
    <w:multiLevelType w:val="hybridMultilevel"/>
    <w:tmpl w:val="81D6764A"/>
    <w:lvl w:ilvl="0" w:tplc="20F8340E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459"/>
    <w:rsid w:val="00000F0C"/>
    <w:rsid w:val="000151E4"/>
    <w:rsid w:val="00016538"/>
    <w:rsid w:val="00034750"/>
    <w:rsid w:val="000401E4"/>
    <w:rsid w:val="00064ACD"/>
    <w:rsid w:val="0009401B"/>
    <w:rsid w:val="000C154D"/>
    <w:rsid w:val="00107590"/>
    <w:rsid w:val="00130D1B"/>
    <w:rsid w:val="0015615F"/>
    <w:rsid w:val="00172DA3"/>
    <w:rsid w:val="00185D17"/>
    <w:rsid w:val="001E73CC"/>
    <w:rsid w:val="001F425F"/>
    <w:rsid w:val="001F4804"/>
    <w:rsid w:val="0024057E"/>
    <w:rsid w:val="0025281E"/>
    <w:rsid w:val="002B73D5"/>
    <w:rsid w:val="003228F2"/>
    <w:rsid w:val="00340B0B"/>
    <w:rsid w:val="00341D26"/>
    <w:rsid w:val="0037558A"/>
    <w:rsid w:val="00381FB4"/>
    <w:rsid w:val="003A1100"/>
    <w:rsid w:val="003C419A"/>
    <w:rsid w:val="00422094"/>
    <w:rsid w:val="0046428C"/>
    <w:rsid w:val="004A0A8F"/>
    <w:rsid w:val="004A49A4"/>
    <w:rsid w:val="004E294D"/>
    <w:rsid w:val="00502D7C"/>
    <w:rsid w:val="00560F06"/>
    <w:rsid w:val="00580681"/>
    <w:rsid w:val="0058496E"/>
    <w:rsid w:val="005B2A6C"/>
    <w:rsid w:val="00614609"/>
    <w:rsid w:val="006368A7"/>
    <w:rsid w:val="00640553"/>
    <w:rsid w:val="006B118E"/>
    <w:rsid w:val="006C30F6"/>
    <w:rsid w:val="006E518F"/>
    <w:rsid w:val="006F7F96"/>
    <w:rsid w:val="00714BA7"/>
    <w:rsid w:val="00760DEE"/>
    <w:rsid w:val="007678E1"/>
    <w:rsid w:val="0079301A"/>
    <w:rsid w:val="007A1BF6"/>
    <w:rsid w:val="007C2506"/>
    <w:rsid w:val="007C608C"/>
    <w:rsid w:val="007E2B1C"/>
    <w:rsid w:val="007E6032"/>
    <w:rsid w:val="008538CB"/>
    <w:rsid w:val="008679AF"/>
    <w:rsid w:val="00876784"/>
    <w:rsid w:val="0087678F"/>
    <w:rsid w:val="00885DC5"/>
    <w:rsid w:val="008C3697"/>
    <w:rsid w:val="008E7459"/>
    <w:rsid w:val="009312BC"/>
    <w:rsid w:val="00941D93"/>
    <w:rsid w:val="00956414"/>
    <w:rsid w:val="00973D73"/>
    <w:rsid w:val="00976A64"/>
    <w:rsid w:val="00996D45"/>
    <w:rsid w:val="009D46E6"/>
    <w:rsid w:val="009E2BA4"/>
    <w:rsid w:val="00A41739"/>
    <w:rsid w:val="00A8636E"/>
    <w:rsid w:val="00A95B82"/>
    <w:rsid w:val="00AE2440"/>
    <w:rsid w:val="00B34C6B"/>
    <w:rsid w:val="00B560F5"/>
    <w:rsid w:val="00B637F1"/>
    <w:rsid w:val="00BB1E2E"/>
    <w:rsid w:val="00BC5A27"/>
    <w:rsid w:val="00BD5110"/>
    <w:rsid w:val="00BE1E0E"/>
    <w:rsid w:val="00C12D5C"/>
    <w:rsid w:val="00C17AE7"/>
    <w:rsid w:val="00C20F9B"/>
    <w:rsid w:val="00C33415"/>
    <w:rsid w:val="00C4299D"/>
    <w:rsid w:val="00C44BBC"/>
    <w:rsid w:val="00C50B17"/>
    <w:rsid w:val="00C83FDB"/>
    <w:rsid w:val="00C944DA"/>
    <w:rsid w:val="00CD0781"/>
    <w:rsid w:val="00DB362A"/>
    <w:rsid w:val="00E35D13"/>
    <w:rsid w:val="00E67C73"/>
    <w:rsid w:val="00EA516B"/>
    <w:rsid w:val="00EE79C3"/>
    <w:rsid w:val="00EF4CE1"/>
    <w:rsid w:val="00F560D7"/>
    <w:rsid w:val="00F617D0"/>
    <w:rsid w:val="00FA5BD2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1B"/>
  </w:style>
  <w:style w:type="paragraph" w:styleId="1">
    <w:name w:val="heading 1"/>
    <w:basedOn w:val="a"/>
    <w:next w:val="a"/>
    <w:link w:val="10"/>
    <w:uiPriority w:val="99"/>
    <w:qFormat/>
    <w:rsid w:val="000940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01B"/>
  </w:style>
  <w:style w:type="paragraph" w:styleId="a7">
    <w:name w:val="footer"/>
    <w:basedOn w:val="a"/>
    <w:link w:val="a8"/>
    <w:uiPriority w:val="99"/>
    <w:unhideWhenUsed/>
    <w:rsid w:val="0009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01B"/>
  </w:style>
  <w:style w:type="character" w:customStyle="1" w:styleId="10">
    <w:name w:val="Заголовок 1 Знак"/>
    <w:basedOn w:val="a0"/>
    <w:link w:val="1"/>
    <w:uiPriority w:val="99"/>
    <w:rsid w:val="000940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9401B"/>
    <w:rPr>
      <w:rFonts w:cs="Times New Roman"/>
      <w:b w:val="0"/>
      <w:color w:val="106BBE"/>
    </w:rPr>
  </w:style>
  <w:style w:type="paragraph" w:customStyle="1" w:styleId="ConsPlusNormal">
    <w:name w:val="ConsPlusNormal"/>
    <w:rsid w:val="00094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401B"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40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01B"/>
  </w:style>
  <w:style w:type="paragraph" w:styleId="a7">
    <w:name w:val="footer"/>
    <w:basedOn w:val="a"/>
    <w:link w:val="a8"/>
    <w:uiPriority w:val="99"/>
    <w:unhideWhenUsed/>
    <w:rsid w:val="00094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01B"/>
  </w:style>
  <w:style w:type="character" w:customStyle="1" w:styleId="10">
    <w:name w:val="Заголовок 1 Знак"/>
    <w:basedOn w:val="a0"/>
    <w:link w:val="1"/>
    <w:uiPriority w:val="99"/>
    <w:rsid w:val="0009401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09401B"/>
    <w:rPr>
      <w:rFonts w:cs="Times New Roman"/>
      <w:b w:val="0"/>
      <w:color w:val="106BBE"/>
    </w:rPr>
  </w:style>
  <w:style w:type="paragraph" w:customStyle="1" w:styleId="ConsPlusNormal">
    <w:name w:val="ConsPlusNormal"/>
    <w:rsid w:val="000940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9401B"/>
    <w:pPr>
      <w:spacing w:after="160" w:line="259" w:lineRule="auto"/>
      <w:ind w:left="720"/>
      <w:contextualSpacing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BB35-6E5F-4620-9BC1-BF7E6753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2020-07-22T07:05:00Z</cp:lastPrinted>
  <dcterms:created xsi:type="dcterms:W3CDTF">2020-06-05T07:56:00Z</dcterms:created>
  <dcterms:modified xsi:type="dcterms:W3CDTF">2020-07-22T07:09:00Z</dcterms:modified>
</cp:coreProperties>
</file>