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18" w:rsidRDefault="00625A5A">
      <w:pPr>
        <w:widowControl w:val="0"/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11318" w:rsidRDefault="0091131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11318" w:rsidRDefault="00625A5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РОССИЙСКАЯ ФЕДЕРАЦИЯ</w:t>
      </w:r>
    </w:p>
    <w:p w:rsidR="00911318" w:rsidRDefault="00625A5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ПРАВИТЕЛЬСТВО КАРАЧАЕВО-ЧЕРКЕССКОЙ РЕСПУБЛИКИ</w:t>
      </w:r>
    </w:p>
    <w:p w:rsidR="00911318" w:rsidRDefault="00625A5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911318" w:rsidRDefault="009113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11318" w:rsidRDefault="00625A5A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____________2021                                  Черкесск                                           №_____</w:t>
      </w:r>
    </w:p>
    <w:p w:rsidR="00911318" w:rsidRDefault="009113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11318" w:rsidRDefault="00625A5A">
      <w:pPr>
        <w:spacing w:after="0" w:line="24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субсидий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из республиканского бюджета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 источником финансового обеспечения которы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х являются иные межбюджетные трансферты, имеющие целевое назначение, из федерального бюджета</w:t>
      </w:r>
    </w:p>
    <w:p w:rsidR="00911318" w:rsidRDefault="00625A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11318" w:rsidRDefault="00625A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ПОСТАНОВЛЯЕТ: </w:t>
      </w:r>
    </w:p>
    <w:p w:rsidR="00911318" w:rsidRDefault="00625A5A">
      <w:pPr>
        <w:widowControl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30.11.2021 № 2142 «Об утверждении Правил предоставления и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>распределения в 2021 году иных межбюджетных трансфертов, имеющих целевое назначение,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в целях софинансирования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 полном объеме расходных обязательств субъектов </w:t>
      </w:r>
      <w:proofErr w:type="gram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>Российской Федерации, возникающих при возмещении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>гатого скота»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Порядок предоставления 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субсидий из республиканского бюджета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атого скота,  источником финансового обеспечения которых являются иные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межбюджетные трансферты, имеющие целевое назначение, из федерального бюджета,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согласно приложению 1.</w:t>
      </w:r>
    </w:p>
    <w:p w:rsidR="00911318" w:rsidRDefault="00625A5A">
      <w:pPr>
        <w:widowControl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2. 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еля Председателя Правительства Карачаево-Черкесской Республики.</w:t>
      </w:r>
    </w:p>
    <w:p w:rsidR="00911318" w:rsidRDefault="00625A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318" w:rsidRDefault="00911318">
      <w:pPr>
        <w:widowControl w:val="0"/>
        <w:tabs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911318" w:rsidRDefault="00625A5A">
      <w:pPr>
        <w:widowControl w:val="0"/>
        <w:tabs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       М.О. Аргунов</w:t>
      </w: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</w:t>
      </w: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</w:t>
      </w:r>
    </w:p>
    <w:p w:rsidR="00911318" w:rsidRDefault="00625A5A">
      <w:pPr>
        <w:widowControl w:val="0"/>
        <w:tabs>
          <w:tab w:val="left" w:pos="-5529"/>
          <w:tab w:val="left" w:pos="2870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     М.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bookmarkEnd w:id="1"/>
      <w:proofErr w:type="spellEnd"/>
    </w:p>
    <w:p w:rsidR="00911318" w:rsidRDefault="00911318">
      <w:pPr>
        <w:widowControl w:val="0"/>
        <w:tabs>
          <w:tab w:val="left" w:pos="-5529"/>
          <w:tab w:val="left" w:pos="2870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-5529"/>
          <w:tab w:val="left" w:pos="2870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Председателя Правительства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Х.У.Чеккуев</w:t>
      </w:r>
      <w:proofErr w:type="spellEnd"/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Заместитель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Председателя Правительства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С. Поляков</w:t>
      </w: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Заместитель Председателя Правительства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   М. Х.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Суюнчев</w:t>
      </w:r>
      <w:proofErr w:type="spellEnd"/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</w:t>
      </w:r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Заместитель Руководителя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Администрации Главы и Правительства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Республики,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Начальник Управления доку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ментационного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обеспечения Главы и Правительства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                   Ф. Я.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Астежева</w:t>
      </w:r>
      <w:proofErr w:type="spellEnd"/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</w:rPr>
        <w:t>Исполняющий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обязанности Министра финансов 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     В.В.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Камышан</w:t>
      </w:r>
      <w:proofErr w:type="spellEnd"/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Мини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стр экономического развития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                      А. Х. </w:t>
      </w:r>
      <w:hyperlink r:id="rId5">
        <w:proofErr w:type="spellStart"/>
        <w:r>
          <w:rPr>
            <w:rFonts w:ascii="Times New Roman" w:eastAsia="SimSun" w:hAnsi="Times New Roman" w:cs="Times New Roman"/>
            <w:kern w:val="2"/>
            <w:sz w:val="28"/>
            <w:szCs w:val="28"/>
          </w:rPr>
          <w:t>Накохов</w:t>
        </w:r>
        <w:proofErr w:type="spellEnd"/>
      </w:hyperlink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Начальник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</w:rPr>
        <w:t>Государственно-правового</w:t>
      </w:r>
      <w:proofErr w:type="gramEnd"/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Управления Главы и Правительс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                       А. А.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Тлишев</w:t>
      </w:r>
      <w:proofErr w:type="spellEnd"/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911318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911318" w:rsidRDefault="0091131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91131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Республики                                                          А. А. Боташев</w:t>
      </w:r>
    </w:p>
    <w:p w:rsidR="00911318" w:rsidRDefault="00625A5A">
      <w:pPr>
        <w:tabs>
          <w:tab w:val="left" w:pos="2870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</w:r>
    </w:p>
    <w:p w:rsidR="00911318" w:rsidRDefault="009113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11318" w:rsidRDefault="00911318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spacing w:after="0" w:line="240" w:lineRule="auto"/>
        <w:jc w:val="right"/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1</w:t>
      </w:r>
      <w:bookmarkStart w:id="2" w:name="sub_1000"/>
      <w:bookmarkEnd w:id="2"/>
    </w:p>
    <w:p w:rsidR="00911318" w:rsidRDefault="00625A5A">
      <w:pPr>
        <w:widowControl w:val="0"/>
        <w:spacing w:after="0" w:line="240" w:lineRule="auto"/>
        <w:jc w:val="right"/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проекту </w:t>
      </w:r>
      <w:hyperlink w:anchor="sub_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Правительства</w:t>
      </w:r>
    </w:p>
    <w:p w:rsidR="00911318" w:rsidRDefault="00625A5A">
      <w:pPr>
        <w:widowControl w:val="0"/>
        <w:spacing w:after="0" w:line="240" w:lineRule="auto"/>
        <w:jc w:val="right"/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Карачаево-Черкесской Республики</w:t>
      </w:r>
    </w:p>
    <w:p w:rsidR="00911318" w:rsidRDefault="0091131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318" w:rsidRDefault="00625A5A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субсидий из 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республиканского бюджета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 источником финансового обеспечения которых яв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ляются иные межбюджетные трансферты, имеющие целевое назначение, из федерального бюджета</w:t>
      </w:r>
    </w:p>
    <w:p w:rsidR="00911318" w:rsidRDefault="0091131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spacing w:before="108" w:after="108" w:line="240" w:lineRule="auto"/>
        <w:jc w:val="center"/>
        <w:outlineLvl w:val="0"/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  <w:bookmarkStart w:id="3" w:name="sub_100"/>
      <w:bookmarkEnd w:id="3"/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4" w:name="sub_11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устанавливает цели, условия и порядок предоставления и распределения субсидий из республиканского бюджета Карачаево-Черкесск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Республики на возмещение производителям,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>источником финансового обеспечения которых являются иные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межбюджетные трансферты, имеющие целевое назначение, из федерального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субсидии, Порядок).</w:t>
      </w:r>
      <w:proofErr w:type="gramEnd"/>
    </w:p>
    <w:p w:rsidR="00911318" w:rsidRDefault="00625A5A">
      <w:pPr>
        <w:widowControl w:val="0"/>
        <w:spacing w:after="0" w:line="240" w:lineRule="auto"/>
        <w:jc w:val="both"/>
      </w:pPr>
      <w:bookmarkStart w:id="5" w:name="sub_121"/>
      <w:bookmarkStart w:id="6" w:name="sub_13"/>
      <w:bookmarkEnd w:id="5"/>
      <w:bookmarkEnd w:id="6"/>
      <w:r>
        <w:rPr>
          <w:rFonts w:ascii="Times New Roman" w:eastAsiaTheme="minorEastAsia" w:hAnsi="Times New Roman" w:cs="Times New Roman"/>
          <w:color w:val="C9211E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Субсидии предоставляются на возмещение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части затрат на приобретение кормов для молочного крупного рогатого скота по ставке на 1 тонну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приобретенных кормов для молочного крупного рогатого скота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производителям,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осуществляющим разведение и (или) содержание молочного крупного рогатого скота, осуществляющим деятельность на территории Карачаево-Черкесской Республики.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7" w:name="sub_131"/>
      <w:bookmarkStart w:id="8" w:name="sub_14"/>
      <w:bookmarkEnd w:id="7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Министерством сельского хозяйства Карачаево-Черкесской Республики, являющимся главным распорядителем бюджетных средств, до которого в соответствии с </w:t>
      </w:r>
      <w:hyperlink r:id="rId6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од) (далее - Министерство).</w:t>
      </w:r>
      <w:proofErr w:type="gramEnd"/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9" w:name="sub_141"/>
      <w:bookmarkStart w:id="10" w:name="sub_15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предоставляются в пределах средств, предусмотренных в бюджете Карачаево-Черкесской Республики на соответствующий финансовый год</w:t>
      </w:r>
      <w:bookmarkStart w:id="11" w:name="sub_16"/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производителям,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осуществляющим разведение и (или) содержание молочного крупного рогато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 скота,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возмещение части затрат (без учета </w:t>
      </w:r>
      <w:hyperlink r:id="rId7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налога на добавленную стоимость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приобретение кормов для молочного крупного рогатого скота по ставке на 1 тонну приобретенн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ых кормов для молочного крупного рогатого скота.</w:t>
      </w:r>
      <w:proofErr w:type="gramEnd"/>
    </w:p>
    <w:p w:rsidR="00911318" w:rsidRDefault="00625A5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Для целей реализации Порядка используются следующие понятия: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«производители, осуществляющие на территории Карачаево-Черкесской Республики разведение и (или) содержание молочного крупного рогатого скота»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а также научные организации, профессиональные образовательные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организации, образователь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ные организации высшего образования, которые в процессе научной, научно - технической и (или) образовательной деятельности осуществляют производство сырого молока и разведение и (или) содержание молочного крупного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рогатого скота (далее — получатели)</w:t>
      </w:r>
      <w:bookmarkEnd w:id="11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«корм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для молочного крупного рогатого скота» - фуражное зерно (пшеница, ячмень, овес, кукуруза), сено, сенаж, силос, жмыхи, шроты, комбикорм для крупного рогатого скота, свекловичный жом, свекловичная патока, гранулированная травяная мука, оболочка сои, белков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о-витаминно-минеральные концентраты.</w:t>
      </w:r>
      <w:proofErr w:type="gramEnd"/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Размер ставок определяется Приказом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необходимости достижения результата предоставления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субсидий указанных в 2.17. настоящего Порядка.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Определение размера ставок на 1 тонну приобретенных корм</w:t>
      </w:r>
      <w:r>
        <w:rPr>
          <w:rFonts w:ascii="Times New Roman" w:hAnsi="Times New Roman"/>
          <w:sz w:val="28"/>
          <w:szCs w:val="28"/>
        </w:rPr>
        <w:t xml:space="preserve">ов для молочного крупного рогатого скота осуществляется по видам кормов для молочного крупного рогатого скота. </w:t>
      </w:r>
    </w:p>
    <w:p w:rsidR="00911318" w:rsidRDefault="00625A5A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При определении размера ставок на 1 тонну приобретенных кормов для молочного крупного рогатого скота для производителей, осуществляющих разведен</w:t>
      </w:r>
      <w:r>
        <w:rPr>
          <w:rFonts w:ascii="Times New Roman" w:hAnsi="Times New Roman"/>
          <w:sz w:val="28"/>
          <w:szCs w:val="28"/>
        </w:rPr>
        <w:t>ие и (или) содержание молочного рогатого скота, и отвечающих критериям малого предприятия, установленным Федеральным законом «О развитии малого и среднего предпринимательства в Российской Федерации», устанавливается повышающий коэффициент в размере 1,2.</w:t>
      </w:r>
    </w:p>
    <w:p w:rsidR="00911318" w:rsidRDefault="00625A5A">
      <w:pPr>
        <w:spacing w:line="240" w:lineRule="auto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бъем государственной поддержки, предоставляемой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может составлять более 50 процентов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таких затрат.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</w:rPr>
        <w:t>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(в разделе единог</w:t>
      </w:r>
      <w:r>
        <w:rPr>
          <w:rFonts w:ascii="Times New Roman" w:hAnsi="Times New Roman"/>
          <w:sz w:val="28"/>
          <w:szCs w:val="28"/>
        </w:rPr>
        <w:t>о портала) (далее - единый портал) и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официальном сайте Министерства в информационно-телекоммуникационной сети Интернет (</w:t>
      </w:r>
      <w:hyperlink r:id="rId8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http://mcxkchr.ru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при формировании проекта закона о республиканском бюджете (проекта закона о </w:t>
      </w:r>
      <w:r>
        <w:rPr>
          <w:rFonts w:ascii="Times New Roman" w:hAnsi="Times New Roman"/>
          <w:sz w:val="28"/>
          <w:szCs w:val="28"/>
        </w:rPr>
        <w:t>внесении изменений в закон о республиканском бюджете).</w:t>
      </w:r>
      <w:proofErr w:type="gramEnd"/>
    </w:p>
    <w:p w:rsidR="00911318" w:rsidRDefault="00911318">
      <w:pPr>
        <w:widowControl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171"/>
      <w:bookmarkStart w:id="13" w:name="sub_200"/>
      <w:bookmarkEnd w:id="12"/>
      <w:bookmarkEnd w:id="13"/>
    </w:p>
    <w:p w:rsidR="00911318" w:rsidRDefault="00625A5A">
      <w:pPr>
        <w:widowControl w:val="0"/>
        <w:spacing w:before="108" w:after="108" w:line="240" w:lineRule="auto"/>
        <w:jc w:val="center"/>
        <w:outlineLvl w:val="0"/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Условия и критерии отбора предоставления субсидии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14" w:name="sub_21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Субсидии предоставляются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отбора. 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осуществляется путем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запроса предложений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заявок, направленных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 для участия в отборе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исходя из соответствия получателей требованиям и критериям, предусмотренным пунктами 2.3., 2.4. и 2.5. настоящего Порядка.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целях проведения отбора Министерство размещает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сайте Министерства в информационно-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Интернет (</w:t>
      </w:r>
      <w:hyperlink r:id="rId9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http://mcxkchr.ru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приказа Министерства объявление о проведении отбора, в котором должны быть указаны: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отбора;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подачи или окончания приема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едложений (заявок) участников отбора;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наименование, место нахождения, почтовый адрес, адрес электронной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чты Министерства;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субсидии;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участникам отбора в соответствии и перечень документов, представляемых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 для подтверждения их соответствия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требованиям;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отзыва заявок участников отбора, порядок возврата заяво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участникам отбора разъяснений положений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проведении отбора, дата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окончания срока такого предоставления;</w:t>
      </w:r>
    </w:p>
    <w:p w:rsidR="00911318" w:rsidRDefault="00625A5A">
      <w:pPr>
        <w:suppressAutoHyphens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15" w:name="sub_24411"/>
      <w:bookmarkEnd w:id="1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Участник отбора на дату подачи документов на предоставлении субсидии должен соответствовать следу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ющим требованиям: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sub_2521"/>
      <w:bookmarkStart w:id="17" w:name="sub_2511"/>
      <w:bookmarkStart w:id="18" w:name="sub_252"/>
      <w:bookmarkEnd w:id="16"/>
      <w:bookmarkEnd w:id="1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25211"/>
      <w:bookmarkStart w:id="20" w:name="sub_253"/>
      <w:bookmarkEnd w:id="19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участники отбора - юридические лица не долж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отбора не приостановлена в порядке, предусмотренном законодательством Российской Федерации;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531"/>
      <w:bookmarkStart w:id="22" w:name="sub_254"/>
      <w:bookmarkEnd w:id="21"/>
      <w:bookmarkEnd w:id="2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541"/>
      <w:bookmarkStart w:id="24" w:name="sub_255"/>
      <w:bookmarkEnd w:id="23"/>
      <w:bookmarkEnd w:id="24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отбор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утвержденный Министерством финансов Российской Федерации </w:t>
      </w:r>
      <w:hyperlink r:id="rId1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bookmarkStart w:id="25" w:name="sub_2551"/>
      <w:bookmarkStart w:id="26" w:name="sub_256"/>
      <w:bookmarkEnd w:id="25"/>
      <w:bookmarkEnd w:id="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отбора не должны получать средства из бюджета Карачаево-Черкесской Республики на основании иных нормативных правовы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актов на цели, указанные в </w:t>
      </w:r>
      <w:hyperlink w:anchor="sub_13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1.2.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561"/>
      <w:bookmarkStart w:id="28" w:name="sub_257"/>
      <w:bookmarkEnd w:id="27"/>
      <w:bookmarkEnd w:id="2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отбора должны осуществлять деятельность на территории Карачаево-Черкесской Республики;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поголовья молочного крупного рогатого скота на 1-е число меся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ца, в котором производитель, осуществляющий разведение и (или) содержание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молочного крупного рогатого скота, обратился в Министерство за получением средств;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обеспечении сохранности поголовья молочного крупного рогатого скота в отчетном финансово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году по отношению к поголовью молочных коров в году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предшествующему отчетному финансовому году, за исключением: 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производителей, осуществляющих разведение и (или) содержание молочного крупного рогатого скота,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начали хозяйственную деятельность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разведению молочного крупного рогатого скота в отчетном или текущем финансовом году; 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случаев снижения поголовья молочного крупного рогатого скота, связанных с наступлением обстоятельств непреодолимой силы или лейкозом крупного рогатого скота в отчетном 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инансовом году при условии предоставления документов, подтверждающих наступление обстоятельств непреодолимой силы или документов, подтверждающих проведение мероприятий по оздоровлению стада от лейкоза крупного рогатого скота. 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bookmarkStart w:id="29" w:name="sub_2441"/>
      <w:bookmarkEnd w:id="2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Участник отбора на дату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 документов на предоставлении субсидии должен соответствовать следующим критериям:</w:t>
      </w:r>
    </w:p>
    <w:p w:rsidR="00911318" w:rsidRDefault="00625A5A">
      <w:pPr>
        <w:spacing w:line="240" w:lineRule="auto"/>
        <w:contextualSpacing/>
        <w:jc w:val="both"/>
      </w:pPr>
      <w:bookmarkStart w:id="30" w:name="sub_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End w:id="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соответствие получателя требованиям, указанным в п. 2.3. настоящего Порядка;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наличие  перечня документов указанных п. 2.5. настоящего Порядка, необходимых для </w:t>
      </w:r>
      <w:r>
        <w:rPr>
          <w:rFonts w:ascii="Times New Roman" w:hAnsi="Times New Roman"/>
          <w:sz w:val="28"/>
          <w:szCs w:val="28"/>
        </w:rPr>
        <w:t>получения субсидий.</w:t>
      </w:r>
    </w:p>
    <w:p w:rsidR="00911318" w:rsidRDefault="00625A5A">
      <w:pPr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31" w:name="sub_251"/>
      <w:r>
        <w:rPr>
          <w:rFonts w:ascii="Times New Roman" w:hAnsi="Times New Roman"/>
          <w:sz w:val="28"/>
          <w:szCs w:val="28"/>
        </w:rPr>
        <w:t xml:space="preserve">      2.5. Перечень и формы документов для получения субсидий устанавливается приказом Министерства, в который включаются следующие документы: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заявление о предоставлении субсидий из бюджета Карачаево-Черкесской Республики;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размера причитающихся производителю, осуществляющему разведение и (или) содержание молочного крупного рогатого скота, субсидий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об объемах приобретенных кормов для молочного крупного рогатого скота в тек</w:t>
      </w:r>
      <w:r>
        <w:rPr>
          <w:rFonts w:ascii="Times New Roman" w:hAnsi="Times New Roman"/>
          <w:sz w:val="28"/>
          <w:szCs w:val="28"/>
        </w:rPr>
        <w:t>ущем финансовом году;</w:t>
      </w:r>
    </w:p>
    <w:p w:rsidR="00911318" w:rsidRDefault="00625A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документы, подтверждающие факт приобретения кормов для молочного крупного рогатого скота за период, заявленный для предоставления субсидий.</w:t>
      </w:r>
      <w:bookmarkEnd w:id="31"/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bookmarkStart w:id="32" w:name="sub_2812"/>
      <w:bookmarkStart w:id="33" w:name="sub_29"/>
      <w:bookmarkStart w:id="34" w:name="sub_275"/>
      <w:bookmarkStart w:id="35" w:name="sub_258"/>
      <w:bookmarkEnd w:id="32"/>
      <w:bookmarkEnd w:id="33"/>
      <w:bookmarkEnd w:id="34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Документы принимаются и регистрируются государственным гражданским служащим Министерства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служащий), осуществляющим прием и регистрацию входящей и исходящей корреспонденции Министерства.</w:t>
      </w:r>
    </w:p>
    <w:p w:rsidR="00911318" w:rsidRDefault="00625A5A">
      <w:pPr>
        <w:widowControl w:val="0"/>
        <w:spacing w:after="0" w:line="240" w:lineRule="auto"/>
        <w:ind w:firstLine="720"/>
        <w:contextualSpacing/>
        <w:jc w:val="both"/>
      </w:pPr>
      <w:bookmarkStart w:id="36" w:name="sub_291"/>
      <w:bookmarkStart w:id="37" w:name="sub_2911"/>
      <w:bookmarkEnd w:id="36"/>
      <w:bookmarkEnd w:id="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заявлений и приложенных к ним документов осуществляется при предоставлении документов непосредственно в Министерство (лично получ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ателем субсидии или руководителем организации, имеющим право действовать без доверенности, либо представителем, полномочия которого подтверждаются доверенностью).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38" w:name="sub_2912"/>
      <w:bookmarkStart w:id="39" w:name="sub_210"/>
      <w:bookmarkEnd w:id="38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Проверку заявлений и приложенных к ним документов, представляемых участниками отбора,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 требованиям настоящего Порядка осуществляют государственные гражданские служащие Министерства, определяемые Приказом Министерства (далее - ответственные служащие). 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40" w:name="sub_2101"/>
      <w:bookmarkStart w:id="41" w:name="sub_2111"/>
      <w:bookmarkEnd w:id="40"/>
      <w:bookmarkEnd w:id="4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Зарегистрированное заявление может быть отозвано участником отбора.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42" w:name="sub_2112"/>
      <w:bookmarkStart w:id="43" w:name="sub_21111"/>
      <w:bookmarkEnd w:id="42"/>
      <w:bookmarkEnd w:id="4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отзыва заявления участник отбора представляет в адрес Министерства письменное уведомление об отзыве заявления в произвольной форме, в котором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указывает причины отзыва заявления.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44" w:name="sub_21112"/>
      <w:bookmarkStart w:id="45" w:name="sub_21121"/>
      <w:bookmarkEnd w:id="44"/>
      <w:bookmarkEnd w:id="4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отбора, отозвавший заявление, не лишается права на подачу заявления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пределах сроков приема документов, установленных в объявлении о проведении отбора.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46" w:name="sub_213"/>
      <w:bookmarkEnd w:id="4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Участник отбора вправе повторно обратиться в Министерство с заявлением о предоставлении субсидии в пределах сроков приема документов, установленных настоящим Порядком.</w:t>
      </w:r>
    </w:p>
    <w:p w:rsidR="00911318" w:rsidRDefault="00625A5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21421"/>
      <w:bookmarkStart w:id="48" w:name="sub_215"/>
      <w:bookmarkStart w:id="49" w:name="sub_2131"/>
      <w:bookmarkEnd w:id="47"/>
      <w:bookmarkEnd w:id="48"/>
      <w:bookmarkEnd w:id="4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Ответственные служащие проводят в порядке, определяемом Приказом Министерства, проверку соответствия участников отбора и представленных ими документов указанных в пункте 2.5. </w:t>
      </w:r>
      <w:bookmarkStart w:id="50" w:name="sub_21711"/>
      <w:bookmarkStart w:id="51" w:name="sub_218"/>
      <w:bookmarkEnd w:id="50"/>
      <w:bookmarkEnd w:id="51"/>
    </w:p>
    <w:p w:rsidR="00911318" w:rsidRDefault="00625A5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Основаниями для отказа во включении в реестр получателей субсидии 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вляются: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52" w:name="sub_2181"/>
      <w:bookmarkStart w:id="53" w:name="sub_21811"/>
      <w:bookmarkEnd w:id="52"/>
      <w:bookmarkEnd w:id="5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 и условиям, указанным в </w:t>
      </w:r>
      <w:hyperlink w:anchor="sub_25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2.3., 2.4. и 2.5. настоящего Порядка;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54" w:name="sub_21812"/>
      <w:bookmarkStart w:id="55" w:name="sub_2182"/>
      <w:bookmarkStart w:id="56" w:name="sub_21821"/>
      <w:bookmarkStart w:id="57" w:name="sub_2183"/>
      <w:bookmarkEnd w:id="54"/>
      <w:bookmarkEnd w:id="55"/>
      <w:bookmarkEnd w:id="56"/>
      <w:bookmarkEnd w:id="5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документов, указанных в </w:t>
      </w:r>
      <w:hyperlink w:anchor="sub_27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2.5.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не в полном объеме и (или) выявление в них недостоверных сведений;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58" w:name="sub_21851"/>
      <w:bookmarkStart w:id="59" w:name="sub_2186"/>
      <w:bookmarkEnd w:id="58"/>
      <w:bookmarkEnd w:id="5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60" w:name="sub_2201"/>
      <w:bookmarkStart w:id="61" w:name="sub_221"/>
      <w:bookmarkEnd w:id="60"/>
      <w:bookmarkEnd w:id="6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С участником отбора, в отношении которого Министерством принято решение о предоставлении субсидии, со дня получения участником отбора заключается соглашение о предоставлении субсидии (далее - соглашение).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62" w:name="sub_2211"/>
      <w:bookmarkStart w:id="63" w:name="sub_222"/>
      <w:bookmarkEnd w:id="62"/>
      <w:bookmarkEnd w:id="6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Согл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лектронный бюджет».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64" w:name="sub_22312"/>
      <w:bookmarkStart w:id="65" w:name="sub_224"/>
      <w:bookmarkEnd w:id="64"/>
      <w:bookmarkEnd w:id="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 Отказ получателя субсидии от подписания соглашения признается отказом получателя субсидии от получения субсидии.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66" w:name="sub_2241"/>
      <w:bookmarkStart w:id="67" w:name="sub_225"/>
      <w:bookmarkEnd w:id="66"/>
      <w:bookmarkEnd w:id="6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2.14. Размер субсидий определяется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исходя из необходимости достижения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пределах средств, предусмотренных в республиканском </w:t>
      </w:r>
      <w:hyperlink r:id="rId1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 на соответствующий финансовый год на вышеназванные цели.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68" w:name="sub_2251"/>
      <w:bookmarkStart w:id="69" w:name="sub_22511"/>
      <w:bookmarkEnd w:id="68"/>
      <w:bookmarkEnd w:id="6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Расчет субсидии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оизводится по формуле установленной Министерством.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70" w:name="sub_22561"/>
      <w:bookmarkStart w:id="71" w:name="sub_226"/>
      <w:bookmarkEnd w:id="70"/>
      <w:bookmarkEnd w:id="7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 Министерство формирует сводный реестр получателей субсидий с указанием суммы, причитающейся к выплате субсидии, в разрезе получателей субсидии.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72" w:name="sub_2261"/>
      <w:bookmarkStart w:id="73" w:name="sub_22611"/>
      <w:bookmarkEnd w:id="72"/>
      <w:bookmarkEnd w:id="7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финансов Карачаево-Черкесской Республики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порядке, установленном для исполнения республиканского бюджета, на основании заявки на предоставление объемов финансирования, предоставленной Министерством, доводит предельные объемы финансирования  на лицевой счет Министерства.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74" w:name="sub_22612"/>
      <w:bookmarkStart w:id="75" w:name="sub_2262"/>
      <w:bookmarkEnd w:id="74"/>
      <w:bookmarkEnd w:id="7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срок, не бо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лее 5 дней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доведения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предельных объемов финансирования, составляет заявку на кассовый расход по каждому получателю субсидии для перечисления денежных средств получателям субсидии на расчетные счета, открытые получателям субсидий в учреждениях Центра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льного банка Российской Федерации или кредитных организациях.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76" w:name="sub_2281"/>
      <w:bookmarkStart w:id="77" w:name="sub_229"/>
      <w:bookmarkEnd w:id="76"/>
      <w:bookmarkEnd w:id="7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Результатом предоставления субсидии является сохранность поголовья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молочных коров в отчетном финансовом году по отношению к поголовью молочных коров в году предшествующие отёчному финансов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 году, за исключением: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производителей, осуществляющих разведение и (или) содержание молочного крупного рогатого скота,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начали хозяйственную деятельность по разведению молочного крупного скота в отчетном финансовом году;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случаев снижения поголовь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 молочного крупного рогатого  скота, связанных с наступлением обстоятельств непреодолимой силы или лейкозом  крупного рогатого скота в отчетном финансовом году при условии предоставления документов, подтверждающих наступление обстоятельств непреодолимой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силы или документов, подтверждающих проведение мероприятий по оздоровлению стада от лейкоза крупного рогатого  скота.  </w:t>
      </w:r>
    </w:p>
    <w:p w:rsidR="00911318" w:rsidRDefault="00625A5A">
      <w:pPr>
        <w:widowControl w:val="0"/>
        <w:spacing w:before="108" w:after="108" w:line="240" w:lineRule="auto"/>
        <w:jc w:val="center"/>
        <w:outlineLvl w:val="0"/>
      </w:pPr>
      <w:bookmarkStart w:id="78" w:name="sub_300"/>
      <w:bookmarkEnd w:id="78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Требования к отчетности</w:t>
      </w:r>
    </w:p>
    <w:p w:rsidR="00911318" w:rsidRDefault="00625A5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9" w:name="sub_311"/>
      <w:bookmarkStart w:id="80" w:name="sub_32"/>
      <w:bookmarkEnd w:id="79"/>
      <w:bookmarkEnd w:id="8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Министерство  устанавливает в соглашении сроки и формы представления получателем субсидии отчет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достижении значений результатов предоставления субсидий.</w:t>
      </w:r>
    </w:p>
    <w:p w:rsidR="00911318" w:rsidRDefault="00911318">
      <w:pPr>
        <w:widowControl w:val="0"/>
        <w:spacing w:after="0" w:line="240" w:lineRule="auto"/>
        <w:ind w:firstLine="720"/>
        <w:jc w:val="both"/>
      </w:pPr>
    </w:p>
    <w:p w:rsidR="00911318" w:rsidRDefault="00625A5A">
      <w:pPr>
        <w:widowControl w:val="0"/>
        <w:spacing w:before="108" w:after="108" w:line="240" w:lineRule="auto"/>
        <w:jc w:val="center"/>
        <w:outlineLvl w:val="0"/>
      </w:pPr>
      <w:bookmarkStart w:id="81" w:name="sub_400"/>
      <w:bookmarkEnd w:id="81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соблюдением условий, целей и порядка предоставления субсидий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82" w:name="sub_41"/>
      <w:bookmarkEnd w:id="8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Обязательная проверка соблюдения получателем субсидии условий, цели и порядка предоставления субсидии 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Министерством в устанавливаемом им порядке и  (или) органами государственного финансового контроля в соответствии с </w:t>
      </w:r>
      <w:hyperlink r:id="rId12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и </w:t>
      </w:r>
      <w:hyperlink r:id="rId13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83" w:name="sub_411"/>
      <w:bookmarkStart w:id="84" w:name="sub_42"/>
      <w:bookmarkEnd w:id="83"/>
      <w:bookmarkEnd w:id="8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получателем субсидии условий соглашения, заключенного в соответствии с Порядком, осуществляется Министерством.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85" w:name="sub_421"/>
      <w:bookmarkStart w:id="86" w:name="sub_43"/>
      <w:bookmarkEnd w:id="85"/>
      <w:bookmarkEnd w:id="8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87" w:name="sub_451"/>
      <w:bookmarkStart w:id="88" w:name="sub_46"/>
      <w:bookmarkEnd w:id="87"/>
      <w:bookmarkEnd w:id="8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Возврат субсидии осуществляется в следующем порядке: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89" w:name="sub_461"/>
      <w:bookmarkStart w:id="90" w:name="sub_4611"/>
      <w:bookmarkEnd w:id="89"/>
      <w:bookmarkEnd w:id="90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выявления Министерством фактов нарушения получателем усл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сударственного финансового контроля, Министерство со дня подтверждения факта нарушения, утверждения акта проведенной проверки или получения предписания направляет получателю требование о возврате субсидии;</w:t>
      </w:r>
      <w:proofErr w:type="gramEnd"/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91" w:name="sub_4612"/>
      <w:bookmarkStart w:id="92" w:name="sub_462"/>
      <w:bookmarkEnd w:id="91"/>
      <w:bookmarkEnd w:id="9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осуществляет возврат субсидии со дня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лучения требования о возврате субсидии;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bookmarkStart w:id="93" w:name="sub_4621"/>
      <w:bookmarkEnd w:id="9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еспубликанский бюджет в </w:t>
      </w:r>
      <w:hyperlink r:id="rId14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судебном порядке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Администрации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</w:t>
      </w:r>
    </w:p>
    <w:p w:rsidR="00911318" w:rsidRDefault="00625A5A">
      <w:pPr>
        <w:widowControl w:val="0"/>
        <w:tabs>
          <w:tab w:val="left" w:pos="-5529"/>
          <w:tab w:val="left" w:pos="2870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Управления документационного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Главы и Правительства </w:t>
      </w: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Ф.Я.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911318" w:rsidRDefault="00911318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widowControl w:val="0"/>
        <w:tabs>
          <w:tab w:val="left" w:pos="2870"/>
          <w:tab w:val="left" w:pos="9923"/>
        </w:tabs>
        <w:spacing w:after="0" w:line="240" w:lineRule="auto"/>
        <w:ind w:right="-6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911318" w:rsidRDefault="00625A5A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       А. А. Боташев</w:t>
      </w: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911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625A5A">
      <w:pPr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911318" w:rsidRDefault="00625A5A">
      <w:pPr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Правительства Карачаево-Черкесской Республики 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Порядка предоставления субсидий из республиканского бюджета на возмещение производителям, осуществляющим разведение и (или)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молочного крупного рогатого скота, части затрат на приобретение кормов для молочного крупного рогатого скота,  источником финансового обеспечения которых являются иные межбюджетные трансферты, имеющие целевое назначение, из федерального бюджета»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318" w:rsidRDefault="00625A5A">
      <w:pPr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Проект постановления разработан в целях сохранения поголовья крупного рогатого скота молочного направления.  </w:t>
      </w:r>
    </w:p>
    <w:p w:rsidR="00911318" w:rsidRDefault="00625A5A">
      <w:pPr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lastRenderedPageBreak/>
        <w:t xml:space="preserve">Проект постановления Правительства Карачаево-Черкесской Республики 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предоставления субсидий из республиканского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 источником финансового обеспечения которых являются иные межбюджетные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трансферты, имеющие целевое назначение, из федерального бюджета</w:t>
      </w:r>
      <w:r>
        <w:rPr>
          <w:rFonts w:ascii="Times New Roman" w:eastAsiaTheme="minorEastAsia" w:hAnsi="Times New Roman" w:cs="Times New Roman"/>
          <w:bCs/>
          <w:color w:val="000000"/>
          <w:kern w:val="2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включен в План работы Правительства Карачаево-Черкесской Республики  на декабрь 2021 года.</w:t>
      </w:r>
      <w:proofErr w:type="gramEnd"/>
    </w:p>
    <w:p w:rsidR="00911318" w:rsidRDefault="00625A5A">
      <w:pPr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Нормативное регулирование рассматриваемого проекта осуществляется  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постановлением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Правительства Российской Федерации от 30.11.2021 № 2142 «Об утверждении Правил предоставления и распределения в 2021 году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br/>
        <w:t>иных межбюджетных трансфертов, имеющих целевое назначение, из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br/>
        <w:t>федерального бюджета бюджетам субъектов Российской Федерации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br/>
        <w:t>за счет бюд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жетных ассигнований резервного фонда Правительства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br/>
        <w:t xml:space="preserve">Российской Федерации в целях софинансирования в полном объеме расходных обязательств субъектов Российской </w:t>
      </w:r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Федерации</w:t>
      </w:r>
      <w:proofErr w:type="gramStart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,в</w:t>
      </w:r>
      <w:proofErr w:type="gramEnd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озникающих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при возмещении </w:t>
      </w:r>
      <w:proofErr w:type="gramStart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производителям, осуществляющим разведение и (или) содержание м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олочного крупного рогатого скота, части затрат на приобретение кормов для молочного крупного рогатого скота» и </w:t>
      </w:r>
      <w:r>
        <w:rPr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постановлением Правительства РФ от 18 сентября 2020 г. № 1492 «Об общих требованиях к нормативным правовым актам, муниципальным правовым актам, 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, работ, услуг, и о признании </w:t>
      </w:r>
      <w:proofErr w:type="gramStart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силу некоторых актов Правительства Ро</w:t>
      </w:r>
      <w:r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ru-RU"/>
        </w:rPr>
        <w:t>ссийской Федерации и отдельных положений некоторых актов Правительства Российской Федерации».</w:t>
      </w:r>
    </w:p>
    <w:p w:rsidR="00911318" w:rsidRDefault="00625A5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Предметом правового регулирования проекта является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условий и порядка предоставления субсидий из республиканского бюджета Карачаево-Черкесской Респу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блики на возмещение производителям,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осуществляющим разведение и (или) содержание молочного крупного рогатого скота, части затрат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(без учета </w:t>
      </w:r>
      <w:hyperlink r:id="rId15">
        <w:r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налога на добавленную стоимость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н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а приобретение кормов для молочного крупного рогатого скота по ставке на 1 тонну приобретенных кормов для молочного крупного рогатого скота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осуществляющим деятельность на территории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Карачаево-Черкесской Республики.</w:t>
      </w:r>
    </w:p>
    <w:p w:rsidR="00911318" w:rsidRDefault="00625A5A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связи с принятием данного проекта не </w:t>
      </w:r>
      <w:r>
        <w:rPr>
          <w:rFonts w:ascii="Times New Roman" w:eastAsia="Calibri" w:hAnsi="Times New Roman" w:cs="Times New Roman"/>
          <w:sz w:val="26"/>
          <w:szCs w:val="26"/>
        </w:rPr>
        <w:t>требуется признание утратившим силу иных нормативных правовых актов Карачаево-Черкесской Республики.</w:t>
      </w:r>
    </w:p>
    <w:p w:rsidR="00911318" w:rsidRDefault="00625A5A">
      <w:pPr>
        <w:spacing w:after="0" w:line="240" w:lineRule="auto"/>
        <w:ind w:left="60" w:firstLine="648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Данный проект не входит в реализацию национальных проектов. </w:t>
      </w:r>
    </w:p>
    <w:p w:rsidR="00911318" w:rsidRDefault="0091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18" w:rsidRDefault="00625A5A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А.А.Боташев</w:t>
      </w:r>
      <w:proofErr w:type="spellEnd"/>
    </w:p>
    <w:p w:rsidR="00911318" w:rsidRDefault="00911318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318" w:rsidRDefault="00625A5A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Ф.М.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Шобанова</w:t>
      </w:r>
      <w:proofErr w:type="spellEnd"/>
    </w:p>
    <w:p w:rsidR="00911318" w:rsidRDefault="00911318">
      <w:pPr>
        <w:rPr>
          <w:rFonts w:ascii="Times New Roman" w:hAnsi="Times New Roman"/>
          <w:sz w:val="18"/>
          <w:szCs w:val="18"/>
        </w:rPr>
      </w:pPr>
    </w:p>
    <w:p w:rsidR="00911318" w:rsidRDefault="00625A5A">
      <w:r>
        <w:rPr>
          <w:rFonts w:ascii="Times New Roman" w:hAnsi="Times New Roman"/>
          <w:sz w:val="18"/>
          <w:szCs w:val="18"/>
        </w:rPr>
        <w:t xml:space="preserve">Исп. Х.И. </w:t>
      </w:r>
      <w:proofErr w:type="spellStart"/>
      <w:r>
        <w:rPr>
          <w:rFonts w:ascii="Times New Roman" w:hAnsi="Times New Roman"/>
          <w:sz w:val="18"/>
          <w:szCs w:val="18"/>
        </w:rPr>
        <w:t>Хамхоев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sectPr w:rsidR="00911318">
      <w:pgSz w:w="11906" w:h="16800"/>
      <w:pgMar w:top="567" w:right="799" w:bottom="72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18"/>
    <w:rsid w:val="00625A5A"/>
    <w:rsid w:val="009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253D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253D9"/>
  </w:style>
  <w:style w:type="character" w:customStyle="1" w:styleId="a5">
    <w:name w:val="Нижний колонтитул Знак"/>
    <w:basedOn w:val="a0"/>
    <w:uiPriority w:val="99"/>
    <w:qFormat/>
    <w:rsid w:val="006253D9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alloon Text"/>
    <w:basedOn w:val="a"/>
    <w:uiPriority w:val="99"/>
    <w:semiHidden/>
    <w:unhideWhenUsed/>
    <w:qFormat/>
    <w:rsid w:val="006253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253D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253D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C16F22"/>
    <w:pPr>
      <w:ind w:left="720"/>
      <w:contextualSpacing/>
    </w:pPr>
  </w:style>
  <w:style w:type="paragraph" w:customStyle="1" w:styleId="2">
    <w:name w:val="Основной текст (2)"/>
    <w:basedOn w:val="a"/>
    <w:qFormat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before="1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253D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253D9"/>
  </w:style>
  <w:style w:type="character" w:customStyle="1" w:styleId="a5">
    <w:name w:val="Нижний колонтитул Знак"/>
    <w:basedOn w:val="a0"/>
    <w:uiPriority w:val="99"/>
    <w:qFormat/>
    <w:rsid w:val="006253D9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alloon Text"/>
    <w:basedOn w:val="a"/>
    <w:uiPriority w:val="99"/>
    <w:semiHidden/>
    <w:unhideWhenUsed/>
    <w:qFormat/>
    <w:rsid w:val="006253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253D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253D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C16F22"/>
    <w:pPr>
      <w:ind w:left="720"/>
      <w:contextualSpacing/>
    </w:pPr>
  </w:style>
  <w:style w:type="paragraph" w:customStyle="1" w:styleId="2">
    <w:name w:val="Основной текст (2)"/>
    <w:basedOn w:val="a"/>
    <w:qFormat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before="1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kchr.ru/" TargetMode="External"/><Relationship Id="rId13" Type="http://schemas.openxmlformats.org/officeDocument/2006/relationships/hyperlink" Target="http://mobileonline.garant.ru/document/redirect/30922235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0900200/20021" TargetMode="External"/><Relationship Id="rId12" Type="http://schemas.openxmlformats.org/officeDocument/2006/relationships/hyperlink" Target="http://mobileonline.garant.ru/document/redirect/12112604/300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12604/4" TargetMode="External"/><Relationship Id="rId11" Type="http://schemas.openxmlformats.org/officeDocument/2006/relationships/hyperlink" Target="http://mobileonline.garant.ru/document/redirect/30921921/0" TargetMode="External"/><Relationship Id="rId5" Type="http://schemas.openxmlformats.org/officeDocument/2006/relationships/hyperlink" Target="http://www.kchr.ru/stat/nakohov_ah.php" TargetMode="External"/><Relationship Id="rId15" Type="http://schemas.openxmlformats.org/officeDocument/2006/relationships/hyperlink" Target="http://mobileonline.garant.ru/document/redirect/10900200/20021" TargetMode="External"/><Relationship Id="rId10" Type="http://schemas.openxmlformats.org/officeDocument/2006/relationships/hyperlink" Target="http://mobileonline.garant.ru/document/redirect/12157576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xkchr.ru/" TargetMode="External"/><Relationship Id="rId14" Type="http://schemas.openxmlformats.org/officeDocument/2006/relationships/hyperlink" Target="http://mobileonline.garant.ru/document/redirect/1212752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2021-10-26T07:58:00Z</cp:lastPrinted>
  <dcterms:created xsi:type="dcterms:W3CDTF">2021-12-06T13:33:00Z</dcterms:created>
  <dcterms:modified xsi:type="dcterms:W3CDTF">2021-12-06T13:33:00Z</dcterms:modified>
  <dc:language>ru-RU</dc:language>
</cp:coreProperties>
</file>